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28F03" w14:textId="77777777" w:rsidR="00CD4B36" w:rsidRPr="00ED54EC" w:rsidRDefault="00CD4B36" w:rsidP="00CD4B36">
      <w:pPr>
        <w:spacing w:line="480" w:lineRule="auto"/>
        <w:jc w:val="center"/>
        <w:rPr>
          <w:rFonts w:ascii="Arial" w:hAnsi="Arial"/>
          <w:lang w:val="en-GB"/>
        </w:rPr>
      </w:pPr>
      <w:r>
        <w:rPr>
          <w:noProof/>
          <w:color w:val="1F497D"/>
          <w:sz w:val="16"/>
          <w:szCs w:val="16"/>
          <w:lang w:eastAsia="en-ZA"/>
        </w:rPr>
        <w:fldChar w:fldCharType="begin"/>
      </w:r>
      <w:r>
        <w:rPr>
          <w:noProof/>
          <w:color w:val="1F497D"/>
          <w:sz w:val="16"/>
          <w:szCs w:val="16"/>
          <w:lang w:eastAsia="en-ZA"/>
        </w:rPr>
        <w:instrText xml:space="preserve"> INCLUDEPICTURE  "cid:image008.png@01D15507.FF25BB90"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"cid:image008.png@01D15507.FF25BB90"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"cid:image008.png@01D15507.FF25BB90" \* MERGEFORMATINET </w:instrText>
      </w:r>
      <w:r>
        <w:rPr>
          <w:noProof/>
          <w:color w:val="1F497D"/>
          <w:sz w:val="16"/>
          <w:szCs w:val="16"/>
          <w:lang w:eastAsia="en-ZA"/>
        </w:rPr>
        <w:fldChar w:fldCharType="separate"/>
      </w:r>
      <w:r w:rsidR="00C3340C">
        <w:rPr>
          <w:noProof/>
          <w:color w:val="1F497D"/>
          <w:sz w:val="16"/>
          <w:szCs w:val="16"/>
          <w:lang w:eastAsia="en-ZA"/>
        </w:rPr>
        <w:fldChar w:fldCharType="begin"/>
      </w:r>
      <w:r w:rsidR="00C3340C">
        <w:rPr>
          <w:noProof/>
          <w:color w:val="1F497D"/>
          <w:sz w:val="16"/>
          <w:szCs w:val="16"/>
          <w:lang w:eastAsia="en-ZA"/>
        </w:rPr>
        <w:instrText xml:space="preserve"> INCLUDEPICTURE  "cid:image008.png@01D15507.FF25BB90" \* MERGEFORMATINET </w:instrText>
      </w:r>
      <w:r w:rsidR="00C3340C">
        <w:rPr>
          <w:noProof/>
          <w:color w:val="1F497D"/>
          <w:sz w:val="16"/>
          <w:szCs w:val="16"/>
          <w:lang w:eastAsia="en-ZA"/>
        </w:rPr>
        <w:fldChar w:fldCharType="separate"/>
      </w:r>
      <w:r w:rsidR="0006276E">
        <w:rPr>
          <w:noProof/>
          <w:color w:val="1F497D"/>
          <w:sz w:val="16"/>
          <w:szCs w:val="16"/>
          <w:lang w:eastAsia="en-ZA"/>
        </w:rPr>
        <w:fldChar w:fldCharType="begin"/>
      </w:r>
      <w:r w:rsidR="0006276E">
        <w:rPr>
          <w:noProof/>
          <w:color w:val="1F497D"/>
          <w:sz w:val="16"/>
          <w:szCs w:val="16"/>
          <w:lang w:eastAsia="en-ZA"/>
        </w:rPr>
        <w:instrText xml:space="preserve"> INCLUDEPICTURE  "cid:image008.png@01D15507.FF25BB90" \* MERGEFORMATINET </w:instrText>
      </w:r>
      <w:r w:rsidR="0006276E">
        <w:rPr>
          <w:noProof/>
          <w:color w:val="1F497D"/>
          <w:sz w:val="16"/>
          <w:szCs w:val="16"/>
          <w:lang w:eastAsia="en-ZA"/>
        </w:rPr>
        <w:fldChar w:fldCharType="separate"/>
      </w:r>
      <w:r w:rsidR="00BD5CDC">
        <w:rPr>
          <w:noProof/>
          <w:color w:val="1F497D"/>
          <w:sz w:val="16"/>
          <w:szCs w:val="16"/>
          <w:lang w:eastAsia="en-ZA"/>
        </w:rPr>
        <w:fldChar w:fldCharType="begin"/>
      </w:r>
      <w:r w:rsidR="00BD5CDC">
        <w:rPr>
          <w:noProof/>
          <w:color w:val="1F497D"/>
          <w:sz w:val="16"/>
          <w:szCs w:val="16"/>
          <w:lang w:eastAsia="en-ZA"/>
        </w:rPr>
        <w:instrText xml:space="preserve"> INCLUDEPICTURE  "cid:image008.png@01D15507.FF25BB90" \* MERGEFORMATINET </w:instrText>
      </w:r>
      <w:r w:rsidR="00BD5CDC">
        <w:rPr>
          <w:noProof/>
          <w:color w:val="1F497D"/>
          <w:sz w:val="16"/>
          <w:szCs w:val="16"/>
          <w:lang w:eastAsia="en-ZA"/>
        </w:rPr>
        <w:fldChar w:fldCharType="separate"/>
      </w:r>
      <w:r w:rsidR="004F4920">
        <w:rPr>
          <w:noProof/>
          <w:color w:val="1F497D"/>
          <w:sz w:val="16"/>
          <w:szCs w:val="16"/>
          <w:lang w:eastAsia="en-ZA"/>
        </w:rPr>
        <w:fldChar w:fldCharType="begin"/>
      </w:r>
      <w:r w:rsidR="004F4920">
        <w:rPr>
          <w:noProof/>
          <w:color w:val="1F497D"/>
          <w:sz w:val="16"/>
          <w:szCs w:val="16"/>
          <w:lang w:eastAsia="en-ZA"/>
        </w:rPr>
        <w:instrText xml:space="preserve"> INCLUDEPICTURE  "cid:image008.png@01D15507.FF25BB90" \* MERGEFORMATINET </w:instrText>
      </w:r>
      <w:r w:rsidR="004F4920">
        <w:rPr>
          <w:noProof/>
          <w:color w:val="1F497D"/>
          <w:sz w:val="16"/>
          <w:szCs w:val="16"/>
          <w:lang w:eastAsia="en-ZA"/>
        </w:rPr>
        <w:fldChar w:fldCharType="separate"/>
      </w:r>
      <w:r w:rsidR="00D33EC0">
        <w:rPr>
          <w:noProof/>
          <w:color w:val="1F497D"/>
          <w:sz w:val="16"/>
          <w:szCs w:val="16"/>
          <w:lang w:eastAsia="en-ZA"/>
        </w:rPr>
        <w:fldChar w:fldCharType="begin"/>
      </w:r>
      <w:r w:rsidR="00D33EC0">
        <w:rPr>
          <w:noProof/>
          <w:color w:val="1F497D"/>
          <w:sz w:val="16"/>
          <w:szCs w:val="16"/>
          <w:lang w:eastAsia="en-ZA"/>
        </w:rPr>
        <w:instrText xml:space="preserve"> INCLUDEPICTURE  "cid:image008.png@01D15507.FF25BB90" \* MERGEFORMATINET </w:instrText>
      </w:r>
      <w:r w:rsidR="00D33EC0">
        <w:rPr>
          <w:noProof/>
          <w:color w:val="1F497D"/>
          <w:sz w:val="16"/>
          <w:szCs w:val="16"/>
          <w:lang w:eastAsia="en-ZA"/>
        </w:rPr>
        <w:fldChar w:fldCharType="separate"/>
      </w:r>
      <w:r w:rsidR="00237D55">
        <w:rPr>
          <w:noProof/>
          <w:color w:val="1F497D"/>
          <w:sz w:val="16"/>
          <w:szCs w:val="16"/>
          <w:lang w:eastAsia="en-ZA"/>
        </w:rPr>
        <w:fldChar w:fldCharType="begin"/>
      </w:r>
      <w:r w:rsidR="00237D55">
        <w:rPr>
          <w:noProof/>
          <w:color w:val="1F497D"/>
          <w:sz w:val="16"/>
          <w:szCs w:val="16"/>
          <w:lang w:eastAsia="en-ZA"/>
        </w:rPr>
        <w:instrText xml:space="preserve"> INCLUDEPICTURE  "cid:image008.png@01D15507.FF25BB90" \* MERGEFORMATINET </w:instrText>
      </w:r>
      <w:r w:rsidR="00237D55">
        <w:rPr>
          <w:noProof/>
          <w:color w:val="1F497D"/>
          <w:sz w:val="16"/>
          <w:szCs w:val="16"/>
          <w:lang w:eastAsia="en-ZA"/>
        </w:rPr>
        <w:fldChar w:fldCharType="separate"/>
      </w:r>
      <w:r w:rsidR="00AF57E7">
        <w:rPr>
          <w:noProof/>
          <w:color w:val="1F497D"/>
          <w:sz w:val="16"/>
          <w:szCs w:val="16"/>
          <w:lang w:eastAsia="en-ZA"/>
        </w:rPr>
        <w:fldChar w:fldCharType="begin"/>
      </w:r>
      <w:r w:rsidR="00AF57E7">
        <w:rPr>
          <w:noProof/>
          <w:color w:val="1F497D"/>
          <w:sz w:val="16"/>
          <w:szCs w:val="16"/>
          <w:lang w:eastAsia="en-ZA"/>
        </w:rPr>
        <w:instrText xml:space="preserve"> INCLUDEPICTURE  "cid:image008.png@01D15507.FF25BB90" \* MERGEFORMATINET </w:instrText>
      </w:r>
      <w:r w:rsidR="00AF57E7">
        <w:rPr>
          <w:noProof/>
          <w:color w:val="1F497D"/>
          <w:sz w:val="16"/>
          <w:szCs w:val="16"/>
          <w:lang w:eastAsia="en-ZA"/>
        </w:rPr>
        <w:fldChar w:fldCharType="separate"/>
      </w:r>
      <w:r w:rsidR="006F61F5">
        <w:rPr>
          <w:noProof/>
          <w:color w:val="1F497D"/>
          <w:sz w:val="16"/>
          <w:szCs w:val="16"/>
          <w:lang w:eastAsia="en-ZA"/>
        </w:rPr>
        <w:fldChar w:fldCharType="begin"/>
      </w:r>
      <w:r w:rsidR="006F61F5">
        <w:rPr>
          <w:noProof/>
          <w:color w:val="1F497D"/>
          <w:sz w:val="16"/>
          <w:szCs w:val="16"/>
          <w:lang w:eastAsia="en-ZA"/>
        </w:rPr>
        <w:instrText xml:space="preserve"> INCLUDEPICTURE  "cid:image008.png@01D15507.FF25BB90" \* MERGEFORMATINET </w:instrText>
      </w:r>
      <w:r w:rsidR="006F61F5">
        <w:rPr>
          <w:noProof/>
          <w:color w:val="1F497D"/>
          <w:sz w:val="16"/>
          <w:szCs w:val="16"/>
          <w:lang w:eastAsia="en-ZA"/>
        </w:rPr>
        <w:fldChar w:fldCharType="separate"/>
      </w:r>
      <w:r w:rsidR="003B6C74">
        <w:rPr>
          <w:noProof/>
          <w:color w:val="1F497D"/>
          <w:sz w:val="16"/>
          <w:szCs w:val="16"/>
          <w:lang w:eastAsia="en-ZA"/>
        </w:rPr>
        <w:fldChar w:fldCharType="begin"/>
      </w:r>
      <w:r w:rsidR="003B6C74">
        <w:rPr>
          <w:noProof/>
          <w:color w:val="1F497D"/>
          <w:sz w:val="16"/>
          <w:szCs w:val="16"/>
          <w:lang w:eastAsia="en-ZA"/>
        </w:rPr>
        <w:instrText xml:space="preserve"> INCLUDEPICTURE  "cid:image008.png@01D15507.FF25BB90" \* MERGEFORMATINET </w:instrText>
      </w:r>
      <w:r w:rsidR="003B6C74">
        <w:rPr>
          <w:noProof/>
          <w:color w:val="1F497D"/>
          <w:sz w:val="16"/>
          <w:szCs w:val="16"/>
          <w:lang w:eastAsia="en-ZA"/>
        </w:rPr>
        <w:fldChar w:fldCharType="separate"/>
      </w:r>
      <w:r w:rsidR="00BC60D0">
        <w:rPr>
          <w:noProof/>
          <w:color w:val="1F497D"/>
          <w:sz w:val="16"/>
          <w:szCs w:val="16"/>
          <w:lang w:eastAsia="en-ZA"/>
        </w:rPr>
        <w:fldChar w:fldCharType="begin"/>
      </w:r>
      <w:r w:rsidR="00BC60D0">
        <w:rPr>
          <w:noProof/>
          <w:color w:val="1F497D"/>
          <w:sz w:val="16"/>
          <w:szCs w:val="16"/>
          <w:lang w:eastAsia="en-ZA"/>
        </w:rPr>
        <w:instrText xml:space="preserve"> INCLUDEPICTURE  "cid:image008.png@01D15507.FF25BB90" \* MERGEFORMATINET </w:instrText>
      </w:r>
      <w:r w:rsidR="00BC60D0">
        <w:rPr>
          <w:noProof/>
          <w:color w:val="1F497D"/>
          <w:sz w:val="16"/>
          <w:szCs w:val="16"/>
          <w:lang w:eastAsia="en-ZA"/>
        </w:rPr>
        <w:fldChar w:fldCharType="separate"/>
      </w:r>
      <w:r w:rsidR="0014178F">
        <w:rPr>
          <w:noProof/>
          <w:color w:val="1F497D"/>
          <w:sz w:val="16"/>
          <w:szCs w:val="16"/>
          <w:lang w:eastAsia="en-ZA"/>
        </w:rPr>
        <w:fldChar w:fldCharType="begin"/>
      </w:r>
      <w:r w:rsidR="0014178F">
        <w:rPr>
          <w:noProof/>
          <w:color w:val="1F497D"/>
          <w:sz w:val="16"/>
          <w:szCs w:val="16"/>
          <w:lang w:eastAsia="en-ZA"/>
        </w:rPr>
        <w:instrText xml:space="preserve"> INCLUDEPICTURE  "cid:image008.png@01D15507.FF25BB90" \* MERGEFORMATINET </w:instrText>
      </w:r>
      <w:r w:rsidR="0014178F">
        <w:rPr>
          <w:noProof/>
          <w:color w:val="1F497D"/>
          <w:sz w:val="16"/>
          <w:szCs w:val="16"/>
          <w:lang w:eastAsia="en-ZA"/>
        </w:rPr>
        <w:fldChar w:fldCharType="separate"/>
      </w:r>
      <w:r w:rsidR="001A193D">
        <w:rPr>
          <w:noProof/>
          <w:color w:val="1F497D"/>
          <w:sz w:val="16"/>
          <w:szCs w:val="16"/>
          <w:lang w:eastAsia="en-ZA"/>
        </w:rPr>
        <w:fldChar w:fldCharType="begin"/>
      </w:r>
      <w:r w:rsidR="001A193D">
        <w:rPr>
          <w:noProof/>
          <w:color w:val="1F497D"/>
          <w:sz w:val="16"/>
          <w:szCs w:val="16"/>
          <w:lang w:eastAsia="en-ZA"/>
        </w:rPr>
        <w:instrText xml:space="preserve"> INCLUDEPICTURE  "cid:image008.png@01D15507.FF25BB90" \* MERGEFORMATINET </w:instrText>
      </w:r>
      <w:r w:rsidR="001A193D">
        <w:rPr>
          <w:noProof/>
          <w:color w:val="1F497D"/>
          <w:sz w:val="16"/>
          <w:szCs w:val="16"/>
          <w:lang w:eastAsia="en-ZA"/>
        </w:rPr>
        <w:fldChar w:fldCharType="separate"/>
      </w:r>
      <w:r w:rsidR="007F7228">
        <w:rPr>
          <w:noProof/>
          <w:color w:val="1F497D"/>
          <w:sz w:val="16"/>
          <w:szCs w:val="16"/>
          <w:lang w:eastAsia="en-ZA"/>
        </w:rPr>
        <w:fldChar w:fldCharType="begin"/>
      </w:r>
      <w:r w:rsidR="007F7228">
        <w:rPr>
          <w:noProof/>
          <w:color w:val="1F497D"/>
          <w:sz w:val="16"/>
          <w:szCs w:val="16"/>
          <w:lang w:eastAsia="en-ZA"/>
        </w:rPr>
        <w:instrText xml:space="preserve"> INCLUDEPICTURE  "cid:image008.png@01D15507.FF25BB90" \* MERGEFORMATINET </w:instrText>
      </w:r>
      <w:r w:rsidR="007F7228">
        <w:rPr>
          <w:noProof/>
          <w:color w:val="1F497D"/>
          <w:sz w:val="16"/>
          <w:szCs w:val="16"/>
          <w:lang w:eastAsia="en-ZA"/>
        </w:rPr>
        <w:fldChar w:fldCharType="separate"/>
      </w:r>
      <w:r w:rsidR="009F02AE">
        <w:rPr>
          <w:noProof/>
          <w:color w:val="1F497D"/>
          <w:sz w:val="16"/>
          <w:szCs w:val="16"/>
          <w:lang w:eastAsia="en-ZA"/>
        </w:rPr>
        <w:fldChar w:fldCharType="begin"/>
      </w:r>
      <w:r w:rsidR="009F02AE">
        <w:rPr>
          <w:noProof/>
          <w:color w:val="1F497D"/>
          <w:sz w:val="16"/>
          <w:szCs w:val="16"/>
          <w:lang w:eastAsia="en-ZA"/>
        </w:rPr>
        <w:instrText xml:space="preserve"> INCLUDEPICTURE  "cid:image008.png@01D15507.FF25BB90" \* MERGEFORMATINET </w:instrText>
      </w:r>
      <w:r w:rsidR="009F02AE">
        <w:rPr>
          <w:noProof/>
          <w:color w:val="1F497D"/>
          <w:sz w:val="16"/>
          <w:szCs w:val="16"/>
          <w:lang w:eastAsia="en-ZA"/>
        </w:rPr>
        <w:fldChar w:fldCharType="separate"/>
      </w:r>
      <w:r w:rsidR="007B2594">
        <w:rPr>
          <w:noProof/>
          <w:color w:val="1F497D"/>
          <w:sz w:val="16"/>
          <w:szCs w:val="16"/>
          <w:lang w:eastAsia="en-ZA"/>
        </w:rPr>
        <w:fldChar w:fldCharType="begin"/>
      </w:r>
      <w:r w:rsidR="007B2594">
        <w:rPr>
          <w:noProof/>
          <w:color w:val="1F497D"/>
          <w:sz w:val="16"/>
          <w:szCs w:val="16"/>
          <w:lang w:eastAsia="en-ZA"/>
        </w:rPr>
        <w:instrText xml:space="preserve"> INCLUDEPICTURE  "cid:image008.png@01D15507.FF25BB90" \* MERGEFORMATINET </w:instrText>
      </w:r>
      <w:r w:rsidR="007B2594">
        <w:rPr>
          <w:noProof/>
          <w:color w:val="1F497D"/>
          <w:sz w:val="16"/>
          <w:szCs w:val="16"/>
          <w:lang w:eastAsia="en-ZA"/>
        </w:rPr>
        <w:fldChar w:fldCharType="separate"/>
      </w:r>
      <w:r w:rsidR="005466A1">
        <w:rPr>
          <w:noProof/>
          <w:color w:val="1F497D"/>
          <w:sz w:val="16"/>
          <w:szCs w:val="16"/>
          <w:lang w:eastAsia="en-ZA"/>
        </w:rPr>
        <w:fldChar w:fldCharType="begin"/>
      </w:r>
      <w:r w:rsidR="005466A1">
        <w:rPr>
          <w:noProof/>
          <w:color w:val="1F497D"/>
          <w:sz w:val="16"/>
          <w:szCs w:val="16"/>
          <w:lang w:eastAsia="en-ZA"/>
        </w:rPr>
        <w:instrText xml:space="preserve"> INCLUDEPICTURE  "cid:image008.png@01D15507.FF25BB90" \* MERGEFORMATINET </w:instrText>
      </w:r>
      <w:r w:rsidR="005466A1">
        <w:rPr>
          <w:noProof/>
          <w:color w:val="1F497D"/>
          <w:sz w:val="16"/>
          <w:szCs w:val="16"/>
          <w:lang w:eastAsia="en-ZA"/>
        </w:rPr>
        <w:fldChar w:fldCharType="separate"/>
      </w:r>
      <w:r w:rsidR="004739AF">
        <w:rPr>
          <w:noProof/>
          <w:color w:val="1F497D"/>
          <w:sz w:val="16"/>
          <w:szCs w:val="16"/>
          <w:lang w:eastAsia="en-ZA"/>
        </w:rPr>
        <w:fldChar w:fldCharType="begin"/>
      </w:r>
      <w:r w:rsidR="004739AF">
        <w:rPr>
          <w:noProof/>
          <w:color w:val="1F497D"/>
          <w:sz w:val="16"/>
          <w:szCs w:val="16"/>
          <w:lang w:eastAsia="en-ZA"/>
        </w:rPr>
        <w:instrText xml:space="preserve"> INCLUDEPICTURE  "cid:image008.png@01D15507.FF25BB90" \* MERGEFORMATINET </w:instrText>
      </w:r>
      <w:r w:rsidR="004739AF">
        <w:rPr>
          <w:noProof/>
          <w:color w:val="1F497D"/>
          <w:sz w:val="16"/>
          <w:szCs w:val="16"/>
          <w:lang w:eastAsia="en-ZA"/>
        </w:rPr>
        <w:fldChar w:fldCharType="separate"/>
      </w:r>
      <w:r w:rsidR="00362870">
        <w:rPr>
          <w:noProof/>
          <w:color w:val="1F497D"/>
          <w:sz w:val="16"/>
          <w:szCs w:val="16"/>
          <w:lang w:eastAsia="en-ZA"/>
        </w:rPr>
        <w:fldChar w:fldCharType="begin"/>
      </w:r>
      <w:r w:rsidR="00362870">
        <w:rPr>
          <w:noProof/>
          <w:color w:val="1F497D"/>
          <w:sz w:val="16"/>
          <w:szCs w:val="16"/>
          <w:lang w:eastAsia="en-ZA"/>
        </w:rPr>
        <w:instrText xml:space="preserve"> INCLUDEPICTURE  "cid:image008.png@01D15507.FF25BB90" \* MERGEFORMATINET </w:instrText>
      </w:r>
      <w:r w:rsidR="00362870">
        <w:rPr>
          <w:noProof/>
          <w:color w:val="1F497D"/>
          <w:sz w:val="16"/>
          <w:szCs w:val="16"/>
          <w:lang w:eastAsia="en-ZA"/>
        </w:rPr>
        <w:fldChar w:fldCharType="separate"/>
      </w:r>
      <w:r w:rsidR="00E6634F">
        <w:rPr>
          <w:noProof/>
          <w:color w:val="1F497D"/>
          <w:sz w:val="16"/>
          <w:szCs w:val="16"/>
          <w:lang w:eastAsia="en-ZA"/>
        </w:rPr>
        <w:fldChar w:fldCharType="begin"/>
      </w:r>
      <w:r w:rsidR="00E6634F">
        <w:rPr>
          <w:noProof/>
          <w:color w:val="1F497D"/>
          <w:sz w:val="16"/>
          <w:szCs w:val="16"/>
          <w:lang w:eastAsia="en-ZA"/>
        </w:rPr>
        <w:instrText xml:space="preserve"> INCLUDEPICTURE  "cid:image008.png@01D15507.FF25BB90" \* MERGEFORMATINET </w:instrText>
      </w:r>
      <w:r w:rsidR="00E6634F">
        <w:rPr>
          <w:noProof/>
          <w:color w:val="1F497D"/>
          <w:sz w:val="16"/>
          <w:szCs w:val="16"/>
          <w:lang w:eastAsia="en-ZA"/>
        </w:rPr>
        <w:fldChar w:fldCharType="separate"/>
      </w:r>
      <w:r w:rsidR="00446A37">
        <w:rPr>
          <w:noProof/>
          <w:color w:val="1F497D"/>
          <w:sz w:val="16"/>
          <w:szCs w:val="16"/>
          <w:lang w:eastAsia="en-ZA"/>
        </w:rPr>
        <w:fldChar w:fldCharType="begin"/>
      </w:r>
      <w:r w:rsidR="00446A37">
        <w:rPr>
          <w:noProof/>
          <w:color w:val="1F497D"/>
          <w:sz w:val="16"/>
          <w:szCs w:val="16"/>
          <w:lang w:eastAsia="en-ZA"/>
        </w:rPr>
        <w:instrText xml:space="preserve"> INCLUDEPICTURE  "cid:image008.png@01D15507.FF25BB90" \* MERGEFORMATINET </w:instrText>
      </w:r>
      <w:r w:rsidR="00446A37">
        <w:rPr>
          <w:noProof/>
          <w:color w:val="1F497D"/>
          <w:sz w:val="16"/>
          <w:szCs w:val="16"/>
          <w:lang w:eastAsia="en-ZA"/>
        </w:rPr>
        <w:fldChar w:fldCharType="separate"/>
      </w:r>
      <w:r w:rsidR="00463138">
        <w:rPr>
          <w:noProof/>
          <w:color w:val="1F497D"/>
          <w:sz w:val="16"/>
          <w:szCs w:val="16"/>
          <w:lang w:eastAsia="en-ZA"/>
        </w:rPr>
        <w:fldChar w:fldCharType="begin"/>
      </w:r>
      <w:r w:rsidR="00463138">
        <w:rPr>
          <w:noProof/>
          <w:color w:val="1F497D"/>
          <w:sz w:val="16"/>
          <w:szCs w:val="16"/>
          <w:lang w:eastAsia="en-ZA"/>
        </w:rPr>
        <w:instrText xml:space="preserve"> INCLUDEPICTURE  "cid:image008.png@01D15507.FF25BB90" \* MERGEFORMATINET </w:instrText>
      </w:r>
      <w:r w:rsidR="00463138">
        <w:rPr>
          <w:noProof/>
          <w:color w:val="1F497D"/>
          <w:sz w:val="16"/>
          <w:szCs w:val="16"/>
          <w:lang w:eastAsia="en-ZA"/>
        </w:rPr>
        <w:fldChar w:fldCharType="separate"/>
      </w:r>
      <w:r w:rsidR="0061375C">
        <w:rPr>
          <w:noProof/>
          <w:color w:val="1F497D"/>
          <w:sz w:val="16"/>
          <w:szCs w:val="16"/>
          <w:lang w:eastAsia="en-ZA"/>
        </w:rPr>
        <w:fldChar w:fldCharType="begin"/>
      </w:r>
      <w:r w:rsidR="0061375C">
        <w:rPr>
          <w:noProof/>
          <w:color w:val="1F497D"/>
          <w:sz w:val="16"/>
          <w:szCs w:val="16"/>
          <w:lang w:eastAsia="en-ZA"/>
        </w:rPr>
        <w:instrText xml:space="preserve"> INCLUDEPICTURE  "cid:image008.png@01D15507.FF25BB90" \* MERGEFORMATINET </w:instrText>
      </w:r>
      <w:r w:rsidR="0061375C">
        <w:rPr>
          <w:noProof/>
          <w:color w:val="1F497D"/>
          <w:sz w:val="16"/>
          <w:szCs w:val="16"/>
          <w:lang w:eastAsia="en-ZA"/>
        </w:rPr>
        <w:fldChar w:fldCharType="separate"/>
      </w:r>
      <w:r w:rsidR="004C7D70">
        <w:rPr>
          <w:noProof/>
          <w:color w:val="1F497D"/>
          <w:sz w:val="16"/>
          <w:szCs w:val="16"/>
          <w:lang w:eastAsia="en-ZA"/>
        </w:rPr>
        <w:fldChar w:fldCharType="begin"/>
      </w:r>
      <w:r w:rsidR="004C7D70">
        <w:rPr>
          <w:noProof/>
          <w:color w:val="1F497D"/>
          <w:sz w:val="16"/>
          <w:szCs w:val="16"/>
          <w:lang w:eastAsia="en-ZA"/>
        </w:rPr>
        <w:instrText xml:space="preserve"> INCLUDEPICTURE  "cid:image008.png@01D15507.FF25BB90" \* MERGEFORMATINET </w:instrText>
      </w:r>
      <w:r w:rsidR="004C7D70">
        <w:rPr>
          <w:noProof/>
          <w:color w:val="1F497D"/>
          <w:sz w:val="16"/>
          <w:szCs w:val="16"/>
          <w:lang w:eastAsia="en-ZA"/>
        </w:rPr>
        <w:fldChar w:fldCharType="separate"/>
      </w:r>
      <w:r w:rsidR="00C607BE">
        <w:rPr>
          <w:noProof/>
          <w:color w:val="1F497D"/>
          <w:sz w:val="16"/>
          <w:szCs w:val="16"/>
          <w:lang w:eastAsia="en-ZA"/>
        </w:rPr>
        <w:fldChar w:fldCharType="begin"/>
      </w:r>
      <w:r w:rsidR="00C607BE">
        <w:rPr>
          <w:noProof/>
          <w:color w:val="1F497D"/>
          <w:sz w:val="16"/>
          <w:szCs w:val="16"/>
          <w:lang w:eastAsia="en-ZA"/>
        </w:rPr>
        <w:instrText xml:space="preserve"> INCLUDEPICTURE  "cid:image008.png@01D15507.FF25BB90" \* MERGEFORMATINET </w:instrText>
      </w:r>
      <w:r w:rsidR="00C607BE">
        <w:rPr>
          <w:noProof/>
          <w:color w:val="1F497D"/>
          <w:sz w:val="16"/>
          <w:szCs w:val="16"/>
          <w:lang w:eastAsia="en-ZA"/>
        </w:rPr>
        <w:fldChar w:fldCharType="separate"/>
      </w:r>
      <w:r w:rsidR="00B65C76">
        <w:rPr>
          <w:noProof/>
          <w:color w:val="1F497D"/>
          <w:sz w:val="16"/>
          <w:szCs w:val="16"/>
          <w:lang w:eastAsia="en-ZA"/>
        </w:rPr>
        <w:fldChar w:fldCharType="begin"/>
      </w:r>
      <w:r w:rsidR="00B65C76">
        <w:rPr>
          <w:noProof/>
          <w:color w:val="1F497D"/>
          <w:sz w:val="16"/>
          <w:szCs w:val="16"/>
          <w:lang w:eastAsia="en-ZA"/>
        </w:rPr>
        <w:instrText xml:space="preserve"> INCLUDEPICTURE  "cid:image008.png@01D15507.FF25BB90" \* MERGEFORMATINET </w:instrText>
      </w:r>
      <w:r w:rsidR="00B65C76">
        <w:rPr>
          <w:noProof/>
          <w:color w:val="1F497D"/>
          <w:sz w:val="16"/>
          <w:szCs w:val="16"/>
          <w:lang w:eastAsia="en-ZA"/>
        </w:rPr>
        <w:fldChar w:fldCharType="separate"/>
      </w:r>
      <w:r w:rsidR="00AB6BAA">
        <w:rPr>
          <w:noProof/>
          <w:color w:val="1F497D"/>
          <w:sz w:val="16"/>
          <w:szCs w:val="16"/>
          <w:lang w:eastAsia="en-ZA"/>
        </w:rPr>
        <w:fldChar w:fldCharType="begin"/>
      </w:r>
      <w:r w:rsidR="00AB6BAA">
        <w:rPr>
          <w:noProof/>
          <w:color w:val="1F497D"/>
          <w:sz w:val="16"/>
          <w:szCs w:val="16"/>
          <w:lang w:eastAsia="en-ZA"/>
        </w:rPr>
        <w:instrText xml:space="preserve"> </w:instrText>
      </w:r>
      <w:r w:rsidR="00AB6BAA">
        <w:rPr>
          <w:noProof/>
          <w:color w:val="1F497D"/>
          <w:sz w:val="16"/>
          <w:szCs w:val="16"/>
          <w:lang w:eastAsia="en-ZA"/>
        </w:rPr>
        <w:instrText>INCLUDEPICTURE  "cid:image008.png@01D15507.FF25BB90" \* MERGEFORMATINET</w:instrText>
      </w:r>
      <w:r w:rsidR="00AB6BAA">
        <w:rPr>
          <w:noProof/>
          <w:color w:val="1F497D"/>
          <w:sz w:val="16"/>
          <w:szCs w:val="16"/>
          <w:lang w:eastAsia="en-ZA"/>
        </w:rPr>
        <w:instrText xml:space="preserve"> </w:instrText>
      </w:r>
      <w:r w:rsidR="00AB6BAA">
        <w:rPr>
          <w:noProof/>
          <w:color w:val="1F497D"/>
          <w:sz w:val="16"/>
          <w:szCs w:val="16"/>
          <w:lang w:eastAsia="en-ZA"/>
        </w:rPr>
        <w:fldChar w:fldCharType="separate"/>
      </w:r>
      <w:r w:rsidR="00AB6BAA">
        <w:rPr>
          <w:noProof/>
          <w:color w:val="1F497D"/>
          <w:sz w:val="16"/>
          <w:szCs w:val="16"/>
          <w:lang w:eastAsia="en-ZA"/>
        </w:rPr>
        <w:pict w14:anchorId="38847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06.5pt;visibility:visible">
            <v:imagedata r:id="rId8" r:href="rId9"/>
          </v:shape>
        </w:pict>
      </w:r>
      <w:r w:rsidR="00AB6BAA">
        <w:rPr>
          <w:noProof/>
          <w:color w:val="1F497D"/>
          <w:sz w:val="16"/>
          <w:szCs w:val="16"/>
          <w:lang w:eastAsia="en-ZA"/>
        </w:rPr>
        <w:fldChar w:fldCharType="end"/>
      </w:r>
      <w:r w:rsidR="00B65C76">
        <w:rPr>
          <w:noProof/>
          <w:color w:val="1F497D"/>
          <w:sz w:val="16"/>
          <w:szCs w:val="16"/>
          <w:lang w:eastAsia="en-ZA"/>
        </w:rPr>
        <w:fldChar w:fldCharType="end"/>
      </w:r>
      <w:r w:rsidR="00C607BE">
        <w:rPr>
          <w:noProof/>
          <w:color w:val="1F497D"/>
          <w:sz w:val="16"/>
          <w:szCs w:val="16"/>
          <w:lang w:eastAsia="en-ZA"/>
        </w:rPr>
        <w:fldChar w:fldCharType="end"/>
      </w:r>
      <w:r w:rsidR="004C7D70">
        <w:rPr>
          <w:noProof/>
          <w:color w:val="1F497D"/>
          <w:sz w:val="16"/>
          <w:szCs w:val="16"/>
          <w:lang w:eastAsia="en-ZA"/>
        </w:rPr>
        <w:fldChar w:fldCharType="end"/>
      </w:r>
      <w:r w:rsidR="0061375C">
        <w:rPr>
          <w:noProof/>
          <w:color w:val="1F497D"/>
          <w:sz w:val="16"/>
          <w:szCs w:val="16"/>
          <w:lang w:eastAsia="en-ZA"/>
        </w:rPr>
        <w:fldChar w:fldCharType="end"/>
      </w:r>
      <w:r w:rsidR="00463138">
        <w:rPr>
          <w:noProof/>
          <w:color w:val="1F497D"/>
          <w:sz w:val="16"/>
          <w:szCs w:val="16"/>
          <w:lang w:eastAsia="en-ZA"/>
        </w:rPr>
        <w:fldChar w:fldCharType="end"/>
      </w:r>
      <w:r w:rsidR="00446A37">
        <w:rPr>
          <w:noProof/>
          <w:color w:val="1F497D"/>
          <w:sz w:val="16"/>
          <w:szCs w:val="16"/>
          <w:lang w:eastAsia="en-ZA"/>
        </w:rPr>
        <w:fldChar w:fldCharType="end"/>
      </w:r>
      <w:r w:rsidR="00E6634F">
        <w:rPr>
          <w:noProof/>
          <w:color w:val="1F497D"/>
          <w:sz w:val="16"/>
          <w:szCs w:val="16"/>
          <w:lang w:eastAsia="en-ZA"/>
        </w:rPr>
        <w:fldChar w:fldCharType="end"/>
      </w:r>
      <w:r w:rsidR="00362870">
        <w:rPr>
          <w:noProof/>
          <w:color w:val="1F497D"/>
          <w:sz w:val="16"/>
          <w:szCs w:val="16"/>
          <w:lang w:eastAsia="en-ZA"/>
        </w:rPr>
        <w:fldChar w:fldCharType="end"/>
      </w:r>
      <w:r w:rsidR="004739AF">
        <w:rPr>
          <w:noProof/>
          <w:color w:val="1F497D"/>
          <w:sz w:val="16"/>
          <w:szCs w:val="16"/>
          <w:lang w:eastAsia="en-ZA"/>
        </w:rPr>
        <w:fldChar w:fldCharType="end"/>
      </w:r>
      <w:r w:rsidR="005466A1">
        <w:rPr>
          <w:noProof/>
          <w:color w:val="1F497D"/>
          <w:sz w:val="16"/>
          <w:szCs w:val="16"/>
          <w:lang w:eastAsia="en-ZA"/>
        </w:rPr>
        <w:fldChar w:fldCharType="end"/>
      </w:r>
      <w:r w:rsidR="007B2594">
        <w:rPr>
          <w:noProof/>
          <w:color w:val="1F497D"/>
          <w:sz w:val="16"/>
          <w:szCs w:val="16"/>
          <w:lang w:eastAsia="en-ZA"/>
        </w:rPr>
        <w:fldChar w:fldCharType="end"/>
      </w:r>
      <w:r w:rsidR="009F02AE">
        <w:rPr>
          <w:noProof/>
          <w:color w:val="1F497D"/>
          <w:sz w:val="16"/>
          <w:szCs w:val="16"/>
          <w:lang w:eastAsia="en-ZA"/>
        </w:rPr>
        <w:fldChar w:fldCharType="end"/>
      </w:r>
      <w:r w:rsidR="007F7228">
        <w:rPr>
          <w:noProof/>
          <w:color w:val="1F497D"/>
          <w:sz w:val="16"/>
          <w:szCs w:val="16"/>
          <w:lang w:eastAsia="en-ZA"/>
        </w:rPr>
        <w:fldChar w:fldCharType="end"/>
      </w:r>
      <w:r w:rsidR="001A193D">
        <w:rPr>
          <w:noProof/>
          <w:color w:val="1F497D"/>
          <w:sz w:val="16"/>
          <w:szCs w:val="16"/>
          <w:lang w:eastAsia="en-ZA"/>
        </w:rPr>
        <w:fldChar w:fldCharType="end"/>
      </w:r>
      <w:r w:rsidR="0014178F">
        <w:rPr>
          <w:noProof/>
          <w:color w:val="1F497D"/>
          <w:sz w:val="16"/>
          <w:szCs w:val="16"/>
          <w:lang w:eastAsia="en-ZA"/>
        </w:rPr>
        <w:fldChar w:fldCharType="end"/>
      </w:r>
      <w:r w:rsidR="00BC60D0">
        <w:rPr>
          <w:noProof/>
          <w:color w:val="1F497D"/>
          <w:sz w:val="16"/>
          <w:szCs w:val="16"/>
          <w:lang w:eastAsia="en-ZA"/>
        </w:rPr>
        <w:fldChar w:fldCharType="end"/>
      </w:r>
      <w:r w:rsidR="003B6C74">
        <w:rPr>
          <w:noProof/>
          <w:color w:val="1F497D"/>
          <w:sz w:val="16"/>
          <w:szCs w:val="16"/>
          <w:lang w:eastAsia="en-ZA"/>
        </w:rPr>
        <w:fldChar w:fldCharType="end"/>
      </w:r>
      <w:r w:rsidR="006F61F5">
        <w:rPr>
          <w:noProof/>
          <w:color w:val="1F497D"/>
          <w:sz w:val="16"/>
          <w:szCs w:val="16"/>
          <w:lang w:eastAsia="en-ZA"/>
        </w:rPr>
        <w:fldChar w:fldCharType="end"/>
      </w:r>
      <w:r w:rsidR="00AF57E7">
        <w:rPr>
          <w:noProof/>
          <w:color w:val="1F497D"/>
          <w:sz w:val="16"/>
          <w:szCs w:val="16"/>
          <w:lang w:eastAsia="en-ZA"/>
        </w:rPr>
        <w:fldChar w:fldCharType="end"/>
      </w:r>
      <w:r w:rsidR="00237D55">
        <w:rPr>
          <w:noProof/>
          <w:color w:val="1F497D"/>
          <w:sz w:val="16"/>
          <w:szCs w:val="16"/>
          <w:lang w:eastAsia="en-ZA"/>
        </w:rPr>
        <w:fldChar w:fldCharType="end"/>
      </w:r>
      <w:r w:rsidR="00D33EC0">
        <w:rPr>
          <w:noProof/>
          <w:color w:val="1F497D"/>
          <w:sz w:val="16"/>
          <w:szCs w:val="16"/>
          <w:lang w:eastAsia="en-ZA"/>
        </w:rPr>
        <w:fldChar w:fldCharType="end"/>
      </w:r>
      <w:r w:rsidR="004F4920">
        <w:rPr>
          <w:noProof/>
          <w:color w:val="1F497D"/>
          <w:sz w:val="16"/>
          <w:szCs w:val="16"/>
          <w:lang w:eastAsia="en-ZA"/>
        </w:rPr>
        <w:fldChar w:fldCharType="end"/>
      </w:r>
      <w:r w:rsidR="00BD5CDC">
        <w:rPr>
          <w:noProof/>
          <w:color w:val="1F497D"/>
          <w:sz w:val="16"/>
          <w:szCs w:val="16"/>
          <w:lang w:eastAsia="en-ZA"/>
        </w:rPr>
        <w:fldChar w:fldCharType="end"/>
      </w:r>
      <w:r w:rsidR="0006276E">
        <w:rPr>
          <w:noProof/>
          <w:color w:val="1F497D"/>
          <w:sz w:val="16"/>
          <w:szCs w:val="16"/>
          <w:lang w:eastAsia="en-ZA"/>
        </w:rPr>
        <w:fldChar w:fldCharType="end"/>
      </w:r>
      <w:r w:rsidR="00C3340C">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fldChar w:fldCharType="begin"/>
      </w:r>
      <w:r>
        <w:instrText xml:space="preserve"> SEQ CHAPTER \h \r 1</w:instrText>
      </w:r>
      <w:r>
        <w:fldChar w:fldCharType="end"/>
      </w:r>
    </w:p>
    <w:p w14:paraId="3ED56625" w14:textId="77777777" w:rsidR="00CD4B36" w:rsidRPr="00F80033" w:rsidRDefault="00CD4B36" w:rsidP="00CD4B36">
      <w:pPr>
        <w:jc w:val="center"/>
        <w:rPr>
          <w:rFonts w:ascii="Arial" w:hAnsi="Arial" w:cs="Arial"/>
          <w:b/>
          <w:sz w:val="24"/>
          <w:szCs w:val="24"/>
        </w:rPr>
      </w:pPr>
      <w:r w:rsidRPr="00F80033">
        <w:rPr>
          <w:rFonts w:ascii="Arial" w:hAnsi="Arial" w:cs="Arial"/>
          <w:b/>
          <w:sz w:val="24"/>
          <w:szCs w:val="24"/>
        </w:rPr>
        <w:t>IN THE HIGH COURT OF SOUTH AFRICA</w:t>
      </w:r>
    </w:p>
    <w:p w14:paraId="1BBC5D41" w14:textId="77777777" w:rsidR="00CD4B36" w:rsidRPr="00F80033" w:rsidRDefault="00CD4B36" w:rsidP="00CD4B36">
      <w:pPr>
        <w:jc w:val="center"/>
        <w:rPr>
          <w:rFonts w:ascii="Arial" w:hAnsi="Arial" w:cs="Arial"/>
          <w:b/>
          <w:sz w:val="24"/>
          <w:szCs w:val="24"/>
        </w:rPr>
      </w:pPr>
      <w:r w:rsidRPr="00F80033">
        <w:rPr>
          <w:rFonts w:ascii="Arial" w:hAnsi="Arial" w:cs="Arial"/>
          <w:b/>
          <w:sz w:val="24"/>
          <w:szCs w:val="24"/>
        </w:rPr>
        <w:t>(WESTERN CAPE DIVISION, CAPE TOWN)</w:t>
      </w:r>
    </w:p>
    <w:p w14:paraId="245248DA" w14:textId="77777777" w:rsidR="00CD4B36" w:rsidRDefault="00CD4B36" w:rsidP="00C82BE4">
      <w:pPr>
        <w:spacing w:after="0" w:line="240" w:lineRule="auto"/>
        <w:jc w:val="right"/>
        <w:rPr>
          <w:rFonts w:ascii="Arial" w:hAnsi="Arial" w:cs="Arial"/>
          <w:sz w:val="28"/>
          <w:szCs w:val="28"/>
        </w:rPr>
      </w:pPr>
      <w:r>
        <w:rPr>
          <w:rFonts w:ascii="Arial" w:hAnsi="Arial" w:cs="Arial"/>
          <w:sz w:val="28"/>
          <w:szCs w:val="28"/>
        </w:rPr>
        <w:t xml:space="preserve"> </w:t>
      </w:r>
    </w:p>
    <w:p w14:paraId="03C19C8E" w14:textId="77777777" w:rsidR="00CD4B36" w:rsidRDefault="00CD4B36" w:rsidP="00CD4B36">
      <w:pPr>
        <w:jc w:val="right"/>
        <w:rPr>
          <w:rFonts w:ascii="Arial" w:hAnsi="Arial" w:cs="Arial"/>
          <w:sz w:val="24"/>
          <w:szCs w:val="24"/>
        </w:rPr>
      </w:pPr>
      <w:r>
        <w:rPr>
          <w:rFonts w:ascii="Arial" w:hAnsi="Arial" w:cs="Arial"/>
          <w:sz w:val="24"/>
          <w:szCs w:val="24"/>
        </w:rPr>
        <w:tab/>
      </w:r>
      <w:r w:rsidRPr="004E1CD1">
        <w:rPr>
          <w:rFonts w:ascii="Arial" w:hAnsi="Arial" w:cs="Arial"/>
        </w:rPr>
        <w:tab/>
      </w:r>
      <w:r w:rsidRPr="004E1CD1">
        <w:rPr>
          <w:rFonts w:ascii="Arial" w:hAnsi="Arial" w:cs="Arial"/>
        </w:rPr>
        <w:tab/>
      </w:r>
      <w:r w:rsidRPr="004E1CD1">
        <w:rPr>
          <w:rFonts w:ascii="Arial" w:hAnsi="Arial" w:cs="Arial"/>
        </w:rPr>
        <w:tab/>
      </w:r>
      <w:r w:rsidRPr="004E1CD1">
        <w:rPr>
          <w:rFonts w:ascii="Arial" w:hAnsi="Arial" w:cs="Arial"/>
        </w:rPr>
        <w:tab/>
      </w:r>
      <w:r w:rsidRPr="004E1CD1">
        <w:rPr>
          <w:rFonts w:ascii="Arial" w:hAnsi="Arial" w:cs="Arial"/>
        </w:rPr>
        <w:tab/>
      </w:r>
      <w:r w:rsidRPr="004E1CD1">
        <w:rPr>
          <w:rFonts w:ascii="Arial" w:hAnsi="Arial" w:cs="Arial"/>
        </w:rPr>
        <w:tab/>
      </w:r>
      <w:r w:rsidRPr="004E1CD1">
        <w:rPr>
          <w:rFonts w:ascii="Arial" w:hAnsi="Arial" w:cs="Arial"/>
        </w:rPr>
        <w:tab/>
        <w:t xml:space="preserve">    </w:t>
      </w:r>
      <w:r w:rsidR="00FF1E65">
        <w:rPr>
          <w:rFonts w:ascii="Arial" w:hAnsi="Arial" w:cs="Arial"/>
          <w:sz w:val="24"/>
          <w:szCs w:val="24"/>
        </w:rPr>
        <w:t>Case No</w:t>
      </w:r>
      <w:r w:rsidR="00F80033">
        <w:rPr>
          <w:rFonts w:ascii="Arial" w:hAnsi="Arial" w:cs="Arial"/>
          <w:sz w:val="24"/>
          <w:szCs w:val="24"/>
        </w:rPr>
        <w:t xml:space="preserve">: </w:t>
      </w:r>
      <w:r w:rsidR="00F80033" w:rsidRPr="00FF1E65">
        <w:rPr>
          <w:rFonts w:ascii="Arial" w:hAnsi="Arial" w:cs="Arial"/>
          <w:b/>
          <w:sz w:val="24"/>
          <w:szCs w:val="24"/>
        </w:rPr>
        <w:t>7595/2017</w:t>
      </w:r>
    </w:p>
    <w:p w14:paraId="359FA065" w14:textId="77777777" w:rsidR="00CD4B36" w:rsidRPr="00F349C1" w:rsidRDefault="00CD4B36" w:rsidP="00C82BE4">
      <w:pPr>
        <w:spacing w:line="240" w:lineRule="auto"/>
        <w:jc w:val="right"/>
        <w:rPr>
          <w:rFonts w:ascii="Arial" w:hAnsi="Arial" w:cs="Arial"/>
          <w:sz w:val="24"/>
          <w:szCs w:val="24"/>
        </w:rPr>
      </w:pPr>
    </w:p>
    <w:p w14:paraId="47D90DFF" w14:textId="77777777" w:rsidR="00CD4B36" w:rsidRPr="00F349C1" w:rsidRDefault="00CD4B36" w:rsidP="00CD4B36">
      <w:pPr>
        <w:rPr>
          <w:rFonts w:ascii="Arial" w:hAnsi="Arial" w:cs="Arial"/>
          <w:sz w:val="24"/>
          <w:szCs w:val="24"/>
        </w:rPr>
      </w:pPr>
      <w:r w:rsidRPr="00F349C1">
        <w:rPr>
          <w:rFonts w:ascii="Arial" w:hAnsi="Arial" w:cs="Arial"/>
          <w:sz w:val="24"/>
          <w:szCs w:val="24"/>
        </w:rPr>
        <w:t>In the matter between:</w:t>
      </w:r>
    </w:p>
    <w:p w14:paraId="6CFAB82A" w14:textId="77777777" w:rsidR="00CD4B36" w:rsidRPr="00F349C1" w:rsidRDefault="00CD4B36" w:rsidP="00CD4B36">
      <w:pPr>
        <w:spacing w:after="0"/>
        <w:jc w:val="right"/>
        <w:rPr>
          <w:rFonts w:ascii="Arial" w:hAnsi="Arial" w:cs="Arial"/>
          <w:sz w:val="24"/>
          <w:szCs w:val="24"/>
        </w:rPr>
      </w:pPr>
    </w:p>
    <w:p w14:paraId="69781CDD" w14:textId="77777777" w:rsidR="00FF1E65" w:rsidRPr="001C2579" w:rsidRDefault="00F80033" w:rsidP="00127051">
      <w:pPr>
        <w:jc w:val="both"/>
        <w:rPr>
          <w:rFonts w:ascii="Arial" w:hAnsi="Arial" w:cs="Arial"/>
          <w:sz w:val="24"/>
          <w:szCs w:val="24"/>
        </w:rPr>
      </w:pPr>
      <w:r w:rsidRPr="00127051">
        <w:rPr>
          <w:rFonts w:ascii="Arial" w:hAnsi="Arial" w:cs="Arial"/>
          <w:b/>
          <w:sz w:val="24"/>
          <w:szCs w:val="24"/>
        </w:rPr>
        <w:t>MINERAL SANDS RESOURCES</w:t>
      </w:r>
      <w:r w:rsidR="00FF1E65" w:rsidRPr="00127051">
        <w:rPr>
          <w:rFonts w:ascii="Arial" w:hAnsi="Arial" w:cs="Arial"/>
          <w:b/>
          <w:sz w:val="24"/>
          <w:szCs w:val="24"/>
        </w:rPr>
        <w:tab/>
      </w:r>
      <w:r w:rsidR="001C2579">
        <w:rPr>
          <w:rFonts w:ascii="Arial" w:hAnsi="Arial" w:cs="Arial"/>
          <w:b/>
          <w:sz w:val="24"/>
          <w:szCs w:val="24"/>
        </w:rPr>
        <w:t xml:space="preserve"> (PTY) LTD</w:t>
      </w:r>
      <w:r w:rsidR="00FF1E65" w:rsidRPr="00127051">
        <w:rPr>
          <w:rFonts w:ascii="Arial" w:hAnsi="Arial" w:cs="Arial"/>
          <w:b/>
          <w:sz w:val="24"/>
          <w:szCs w:val="24"/>
        </w:rPr>
        <w:tab/>
      </w:r>
      <w:r w:rsidR="00FF1E65" w:rsidRPr="00127051">
        <w:rPr>
          <w:rFonts w:ascii="Arial" w:hAnsi="Arial" w:cs="Arial"/>
          <w:b/>
          <w:sz w:val="24"/>
          <w:szCs w:val="24"/>
        </w:rPr>
        <w:tab/>
      </w:r>
      <w:r w:rsidR="001C2579">
        <w:rPr>
          <w:rFonts w:ascii="Arial" w:hAnsi="Arial" w:cs="Arial"/>
          <w:b/>
          <w:sz w:val="24"/>
          <w:szCs w:val="24"/>
        </w:rPr>
        <w:tab/>
      </w:r>
      <w:r w:rsidR="00D14CC6">
        <w:rPr>
          <w:rFonts w:ascii="Arial" w:hAnsi="Arial" w:cs="Arial"/>
          <w:b/>
          <w:sz w:val="24"/>
          <w:szCs w:val="24"/>
        </w:rPr>
        <w:tab/>
        <w:t xml:space="preserve">       </w:t>
      </w:r>
      <w:r w:rsidRPr="00127051">
        <w:rPr>
          <w:rFonts w:ascii="Arial" w:hAnsi="Arial" w:cs="Arial"/>
          <w:sz w:val="24"/>
          <w:szCs w:val="24"/>
        </w:rPr>
        <w:t xml:space="preserve">First </w:t>
      </w:r>
      <w:r w:rsidR="002738EE" w:rsidRPr="00127051">
        <w:rPr>
          <w:rFonts w:ascii="Arial" w:hAnsi="Arial" w:cs="Arial"/>
          <w:sz w:val="24"/>
          <w:szCs w:val="24"/>
        </w:rPr>
        <w:t>Plaintiff</w:t>
      </w:r>
    </w:p>
    <w:p w14:paraId="3FF842FF" w14:textId="77777777" w:rsidR="00F80033" w:rsidRPr="00127051" w:rsidRDefault="00F80033" w:rsidP="00127051">
      <w:pPr>
        <w:jc w:val="both"/>
        <w:rPr>
          <w:rFonts w:ascii="Arial" w:hAnsi="Arial" w:cs="Arial"/>
          <w:sz w:val="24"/>
          <w:szCs w:val="24"/>
        </w:rPr>
      </w:pPr>
      <w:r w:rsidRPr="00127051">
        <w:rPr>
          <w:rFonts w:ascii="Arial" w:hAnsi="Arial" w:cs="Arial"/>
          <w:b/>
          <w:sz w:val="24"/>
          <w:szCs w:val="24"/>
        </w:rPr>
        <w:t>ZAMILE QUNYA</w:t>
      </w:r>
      <w:r w:rsidR="00127051">
        <w:rPr>
          <w:rFonts w:ascii="Arial" w:hAnsi="Arial" w:cs="Arial"/>
          <w:b/>
          <w:sz w:val="24"/>
          <w:szCs w:val="24"/>
        </w:rPr>
        <w:tab/>
      </w:r>
      <w:r w:rsidR="00127051">
        <w:rPr>
          <w:rFonts w:ascii="Arial" w:hAnsi="Arial" w:cs="Arial"/>
          <w:b/>
          <w:sz w:val="24"/>
          <w:szCs w:val="24"/>
        </w:rPr>
        <w:tab/>
      </w:r>
      <w:r w:rsidR="00127051">
        <w:rPr>
          <w:rFonts w:ascii="Arial" w:hAnsi="Arial" w:cs="Arial"/>
          <w:b/>
          <w:sz w:val="24"/>
          <w:szCs w:val="24"/>
        </w:rPr>
        <w:tab/>
      </w:r>
      <w:r w:rsidR="00127051">
        <w:rPr>
          <w:rFonts w:ascii="Arial" w:hAnsi="Arial" w:cs="Arial"/>
          <w:b/>
          <w:sz w:val="24"/>
          <w:szCs w:val="24"/>
        </w:rPr>
        <w:tab/>
      </w:r>
      <w:r w:rsidR="00127051">
        <w:rPr>
          <w:rFonts w:ascii="Arial" w:hAnsi="Arial" w:cs="Arial"/>
          <w:b/>
          <w:sz w:val="24"/>
          <w:szCs w:val="24"/>
        </w:rPr>
        <w:tab/>
      </w:r>
      <w:r w:rsidR="00127051">
        <w:rPr>
          <w:rFonts w:ascii="Arial" w:hAnsi="Arial" w:cs="Arial"/>
          <w:b/>
          <w:sz w:val="24"/>
          <w:szCs w:val="24"/>
        </w:rPr>
        <w:tab/>
      </w:r>
      <w:r w:rsidR="00127051">
        <w:rPr>
          <w:rFonts w:ascii="Arial" w:hAnsi="Arial" w:cs="Arial"/>
          <w:b/>
          <w:sz w:val="24"/>
          <w:szCs w:val="24"/>
        </w:rPr>
        <w:tab/>
      </w:r>
      <w:r w:rsidR="00DF42EF">
        <w:rPr>
          <w:rFonts w:ascii="Arial" w:hAnsi="Arial" w:cs="Arial"/>
          <w:b/>
          <w:sz w:val="24"/>
          <w:szCs w:val="24"/>
        </w:rPr>
        <w:tab/>
        <w:t xml:space="preserve"> </w:t>
      </w:r>
      <w:r w:rsidR="00DF42EF" w:rsidRPr="00DF42EF">
        <w:rPr>
          <w:rFonts w:ascii="Arial" w:hAnsi="Arial" w:cs="Arial"/>
          <w:sz w:val="24"/>
          <w:szCs w:val="24"/>
        </w:rPr>
        <w:t>Second</w:t>
      </w:r>
      <w:r w:rsidRPr="00127051">
        <w:rPr>
          <w:rFonts w:ascii="Arial" w:hAnsi="Arial" w:cs="Arial"/>
          <w:sz w:val="24"/>
          <w:szCs w:val="24"/>
        </w:rPr>
        <w:t xml:space="preserve"> </w:t>
      </w:r>
      <w:r w:rsidR="002738EE" w:rsidRPr="00127051">
        <w:rPr>
          <w:rFonts w:ascii="Arial" w:hAnsi="Arial" w:cs="Arial"/>
          <w:sz w:val="24"/>
          <w:szCs w:val="24"/>
        </w:rPr>
        <w:t>Plaintiff</w:t>
      </w:r>
    </w:p>
    <w:p w14:paraId="322EFC04" w14:textId="77777777" w:rsidR="00CD4B36" w:rsidRPr="00127051" w:rsidRDefault="00CD4B36" w:rsidP="00127051">
      <w:pPr>
        <w:spacing w:after="0" w:line="240" w:lineRule="auto"/>
        <w:jc w:val="both"/>
        <w:rPr>
          <w:rFonts w:ascii="Arial" w:hAnsi="Arial" w:cs="Arial"/>
          <w:b/>
          <w:sz w:val="24"/>
          <w:szCs w:val="24"/>
        </w:rPr>
      </w:pPr>
    </w:p>
    <w:p w14:paraId="4F86F4F4" w14:textId="77777777" w:rsidR="00CD4B36" w:rsidRPr="00127051" w:rsidRDefault="00CD4B36" w:rsidP="00127051">
      <w:pPr>
        <w:jc w:val="both"/>
        <w:rPr>
          <w:rFonts w:ascii="Arial" w:hAnsi="Arial" w:cs="Arial"/>
          <w:sz w:val="24"/>
          <w:szCs w:val="24"/>
        </w:rPr>
      </w:pPr>
      <w:r w:rsidRPr="00127051">
        <w:rPr>
          <w:rFonts w:ascii="Arial" w:hAnsi="Arial" w:cs="Arial"/>
          <w:sz w:val="24"/>
          <w:szCs w:val="24"/>
        </w:rPr>
        <w:t>and</w:t>
      </w:r>
    </w:p>
    <w:p w14:paraId="077003C5" w14:textId="77777777" w:rsidR="00CD4B36" w:rsidRPr="00127051" w:rsidRDefault="00CD4B36" w:rsidP="00127051">
      <w:pPr>
        <w:spacing w:after="0" w:line="240" w:lineRule="auto"/>
        <w:jc w:val="both"/>
        <w:rPr>
          <w:rFonts w:ascii="Arial" w:hAnsi="Arial" w:cs="Arial"/>
          <w:sz w:val="24"/>
          <w:szCs w:val="24"/>
        </w:rPr>
      </w:pPr>
    </w:p>
    <w:p w14:paraId="6F4D48D9" w14:textId="77777777" w:rsidR="00CD4B36" w:rsidRPr="00127051" w:rsidRDefault="00F80033" w:rsidP="00127051">
      <w:pPr>
        <w:jc w:val="both"/>
        <w:rPr>
          <w:rFonts w:ascii="Arial" w:hAnsi="Arial" w:cs="Arial"/>
          <w:b/>
          <w:sz w:val="24"/>
          <w:szCs w:val="24"/>
        </w:rPr>
      </w:pPr>
      <w:r w:rsidRPr="00127051">
        <w:rPr>
          <w:rFonts w:ascii="Arial" w:hAnsi="Arial" w:cs="Arial"/>
          <w:b/>
          <w:sz w:val="24"/>
          <w:szCs w:val="24"/>
        </w:rPr>
        <w:t>CHRISTINE REDDELL</w:t>
      </w:r>
      <w:r w:rsidRPr="00127051">
        <w:rPr>
          <w:rFonts w:ascii="Arial" w:hAnsi="Arial" w:cs="Arial"/>
          <w:b/>
          <w:sz w:val="24"/>
          <w:szCs w:val="24"/>
        </w:rPr>
        <w:tab/>
      </w:r>
      <w:r w:rsidRPr="00127051">
        <w:rPr>
          <w:rFonts w:ascii="Arial" w:hAnsi="Arial" w:cs="Arial"/>
          <w:b/>
          <w:sz w:val="24"/>
          <w:szCs w:val="24"/>
        </w:rPr>
        <w:tab/>
      </w:r>
      <w:r w:rsidR="00127051">
        <w:rPr>
          <w:rFonts w:ascii="Arial" w:hAnsi="Arial" w:cs="Arial"/>
          <w:b/>
          <w:sz w:val="24"/>
          <w:szCs w:val="24"/>
        </w:rPr>
        <w:tab/>
      </w:r>
      <w:r w:rsidR="00127051">
        <w:rPr>
          <w:rFonts w:ascii="Arial" w:hAnsi="Arial" w:cs="Arial"/>
          <w:b/>
          <w:sz w:val="24"/>
          <w:szCs w:val="24"/>
        </w:rPr>
        <w:tab/>
      </w:r>
      <w:r w:rsidR="00127051">
        <w:rPr>
          <w:rFonts w:ascii="Arial" w:hAnsi="Arial" w:cs="Arial"/>
          <w:b/>
          <w:sz w:val="24"/>
          <w:szCs w:val="24"/>
        </w:rPr>
        <w:tab/>
        <w:t xml:space="preserve">        </w:t>
      </w:r>
      <w:r w:rsidR="00127051">
        <w:rPr>
          <w:rFonts w:ascii="Arial" w:hAnsi="Arial" w:cs="Arial"/>
          <w:b/>
          <w:sz w:val="24"/>
          <w:szCs w:val="24"/>
        </w:rPr>
        <w:tab/>
      </w:r>
      <w:r w:rsidR="00D14CC6">
        <w:rPr>
          <w:rFonts w:ascii="Arial" w:hAnsi="Arial" w:cs="Arial"/>
          <w:b/>
          <w:sz w:val="24"/>
          <w:szCs w:val="24"/>
        </w:rPr>
        <w:t xml:space="preserve">             </w:t>
      </w:r>
      <w:r w:rsidR="00CD4B36" w:rsidRPr="00127051">
        <w:rPr>
          <w:rFonts w:ascii="Arial" w:hAnsi="Arial" w:cs="Arial"/>
          <w:sz w:val="24"/>
          <w:szCs w:val="24"/>
        </w:rPr>
        <w:t>First</w:t>
      </w:r>
      <w:r w:rsidR="00CD4B36" w:rsidRPr="00127051">
        <w:rPr>
          <w:rFonts w:ascii="Arial" w:hAnsi="Arial" w:cs="Arial"/>
          <w:b/>
          <w:sz w:val="24"/>
          <w:szCs w:val="24"/>
        </w:rPr>
        <w:t xml:space="preserve"> </w:t>
      </w:r>
      <w:r w:rsidR="00BD4731" w:rsidRPr="00127051">
        <w:rPr>
          <w:rFonts w:ascii="Arial" w:hAnsi="Arial" w:cs="Arial"/>
          <w:sz w:val="24"/>
          <w:szCs w:val="24"/>
        </w:rPr>
        <w:t>Defendant</w:t>
      </w:r>
    </w:p>
    <w:p w14:paraId="02F09416" w14:textId="77777777" w:rsidR="00CD4B36" w:rsidRPr="00127051" w:rsidRDefault="00F80033" w:rsidP="00127051">
      <w:pPr>
        <w:jc w:val="both"/>
        <w:rPr>
          <w:rFonts w:ascii="Arial" w:hAnsi="Arial" w:cs="Arial"/>
          <w:sz w:val="24"/>
          <w:szCs w:val="24"/>
        </w:rPr>
      </w:pPr>
      <w:r w:rsidRPr="00127051">
        <w:rPr>
          <w:rFonts w:ascii="Arial" w:hAnsi="Arial" w:cs="Arial"/>
          <w:b/>
          <w:sz w:val="24"/>
          <w:szCs w:val="24"/>
        </w:rPr>
        <w:t>TRACEY DAVIES</w:t>
      </w:r>
      <w:r w:rsidRPr="00127051">
        <w:rPr>
          <w:rFonts w:ascii="Arial" w:hAnsi="Arial" w:cs="Arial"/>
          <w:b/>
          <w:sz w:val="24"/>
          <w:szCs w:val="24"/>
        </w:rPr>
        <w:tab/>
      </w:r>
      <w:r w:rsidRPr="00127051">
        <w:rPr>
          <w:rFonts w:ascii="Arial" w:hAnsi="Arial" w:cs="Arial"/>
          <w:b/>
          <w:sz w:val="24"/>
          <w:szCs w:val="24"/>
        </w:rPr>
        <w:tab/>
      </w:r>
      <w:r w:rsidR="00CD4B36" w:rsidRPr="00127051">
        <w:rPr>
          <w:rFonts w:ascii="Arial" w:hAnsi="Arial" w:cs="Arial"/>
          <w:b/>
          <w:sz w:val="24"/>
          <w:szCs w:val="24"/>
        </w:rPr>
        <w:tab/>
        <w:t xml:space="preserve"> </w:t>
      </w:r>
      <w:r w:rsidR="00127051">
        <w:rPr>
          <w:rFonts w:ascii="Arial" w:hAnsi="Arial" w:cs="Arial"/>
          <w:b/>
          <w:sz w:val="24"/>
          <w:szCs w:val="24"/>
        </w:rPr>
        <w:tab/>
      </w:r>
      <w:r w:rsidR="00127051">
        <w:rPr>
          <w:rFonts w:ascii="Arial" w:hAnsi="Arial" w:cs="Arial"/>
          <w:b/>
          <w:sz w:val="24"/>
          <w:szCs w:val="24"/>
        </w:rPr>
        <w:tab/>
      </w:r>
      <w:r w:rsidR="00127051">
        <w:rPr>
          <w:rFonts w:ascii="Arial" w:hAnsi="Arial" w:cs="Arial"/>
          <w:b/>
          <w:sz w:val="24"/>
          <w:szCs w:val="24"/>
        </w:rPr>
        <w:tab/>
      </w:r>
      <w:r w:rsidR="00127051">
        <w:rPr>
          <w:rFonts w:ascii="Arial" w:hAnsi="Arial" w:cs="Arial"/>
          <w:b/>
          <w:sz w:val="24"/>
          <w:szCs w:val="24"/>
        </w:rPr>
        <w:tab/>
      </w:r>
      <w:r w:rsidR="00D14CC6">
        <w:rPr>
          <w:rFonts w:ascii="Arial" w:hAnsi="Arial" w:cs="Arial"/>
          <w:b/>
          <w:sz w:val="24"/>
          <w:szCs w:val="24"/>
        </w:rPr>
        <w:t xml:space="preserve">        </w:t>
      </w:r>
      <w:r w:rsidRPr="00127051">
        <w:rPr>
          <w:rFonts w:ascii="Arial" w:hAnsi="Arial" w:cs="Arial"/>
          <w:sz w:val="24"/>
          <w:szCs w:val="24"/>
        </w:rPr>
        <w:t xml:space="preserve">Second </w:t>
      </w:r>
      <w:r w:rsidR="00BD4731" w:rsidRPr="00127051">
        <w:rPr>
          <w:rFonts w:ascii="Arial" w:hAnsi="Arial" w:cs="Arial"/>
          <w:sz w:val="24"/>
          <w:szCs w:val="24"/>
        </w:rPr>
        <w:t>Defendant</w:t>
      </w:r>
    </w:p>
    <w:p w14:paraId="626DCF28" w14:textId="77777777" w:rsidR="00A454A1" w:rsidRDefault="00F80033" w:rsidP="00127051">
      <w:pPr>
        <w:pStyle w:val="NoSpacing"/>
        <w:jc w:val="both"/>
        <w:rPr>
          <w:rFonts w:ascii="Arial" w:hAnsi="Arial" w:cs="Arial"/>
          <w:sz w:val="24"/>
          <w:szCs w:val="24"/>
        </w:rPr>
      </w:pPr>
      <w:r w:rsidRPr="00127051">
        <w:rPr>
          <w:rFonts w:ascii="Arial" w:hAnsi="Arial" w:cs="Arial"/>
          <w:b/>
          <w:sz w:val="24"/>
          <w:szCs w:val="24"/>
        </w:rPr>
        <w:t>DAVINE CLOETE</w:t>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00127051">
        <w:rPr>
          <w:rFonts w:ascii="Arial" w:hAnsi="Arial" w:cs="Arial"/>
          <w:sz w:val="24"/>
          <w:szCs w:val="24"/>
        </w:rPr>
        <w:tab/>
      </w:r>
      <w:r w:rsidR="00127051">
        <w:rPr>
          <w:rFonts w:ascii="Arial" w:hAnsi="Arial" w:cs="Arial"/>
          <w:sz w:val="24"/>
          <w:szCs w:val="24"/>
        </w:rPr>
        <w:tab/>
      </w:r>
      <w:r w:rsidR="00D14CC6">
        <w:rPr>
          <w:rFonts w:ascii="Arial" w:hAnsi="Arial" w:cs="Arial"/>
          <w:sz w:val="24"/>
          <w:szCs w:val="24"/>
        </w:rPr>
        <w:t xml:space="preserve">            </w:t>
      </w:r>
      <w:r w:rsidRPr="00127051">
        <w:rPr>
          <w:rFonts w:ascii="Arial" w:hAnsi="Arial" w:cs="Arial"/>
          <w:sz w:val="24"/>
          <w:szCs w:val="24"/>
        </w:rPr>
        <w:t xml:space="preserve">Third </w:t>
      </w:r>
      <w:r w:rsidR="00BD4731" w:rsidRPr="00127051">
        <w:rPr>
          <w:rFonts w:ascii="Arial" w:hAnsi="Arial" w:cs="Arial"/>
          <w:sz w:val="24"/>
          <w:szCs w:val="24"/>
        </w:rPr>
        <w:t>Defendant</w:t>
      </w:r>
    </w:p>
    <w:p w14:paraId="29B11018" w14:textId="77777777" w:rsidR="00127051" w:rsidRPr="00127051" w:rsidRDefault="00127051" w:rsidP="00127051">
      <w:pPr>
        <w:pStyle w:val="NoSpacing"/>
        <w:jc w:val="both"/>
        <w:rPr>
          <w:rFonts w:ascii="Arial" w:hAnsi="Arial" w:cs="Arial"/>
          <w:sz w:val="24"/>
          <w:szCs w:val="24"/>
        </w:rPr>
      </w:pPr>
    </w:p>
    <w:p w14:paraId="08C33C0B" w14:textId="77777777" w:rsidR="00A454A1" w:rsidRPr="00127051" w:rsidRDefault="00A454A1" w:rsidP="00127051">
      <w:pPr>
        <w:pStyle w:val="NoSpacing"/>
        <w:jc w:val="both"/>
        <w:rPr>
          <w:rFonts w:ascii="Arial" w:hAnsi="Arial" w:cs="Arial"/>
          <w:sz w:val="24"/>
          <w:szCs w:val="24"/>
        </w:rPr>
      </w:pPr>
    </w:p>
    <w:p w14:paraId="44E324DF" w14:textId="77777777" w:rsidR="006403F7" w:rsidRPr="00127051" w:rsidRDefault="006403F7" w:rsidP="00127051">
      <w:pPr>
        <w:pStyle w:val="NoSpacing"/>
        <w:jc w:val="both"/>
        <w:rPr>
          <w:rFonts w:ascii="Arial" w:hAnsi="Arial" w:cs="Arial"/>
          <w:sz w:val="24"/>
          <w:szCs w:val="24"/>
        </w:rPr>
      </w:pPr>
    </w:p>
    <w:p w14:paraId="590A65AA" w14:textId="77777777" w:rsidR="006403F7" w:rsidRPr="00127051" w:rsidRDefault="00FF1E65" w:rsidP="00127051">
      <w:pPr>
        <w:pStyle w:val="NoSpacing"/>
        <w:jc w:val="both"/>
        <w:rPr>
          <w:rFonts w:ascii="Arial" w:hAnsi="Arial" w:cs="Arial"/>
          <w:b/>
          <w:sz w:val="24"/>
          <w:szCs w:val="24"/>
        </w:rPr>
      </w:pPr>
      <w:r w:rsidRPr="00127051">
        <w:rPr>
          <w:rFonts w:ascii="Arial" w:hAnsi="Arial" w:cs="Arial"/>
          <w:sz w:val="24"/>
          <w:szCs w:val="24"/>
        </w:rPr>
        <w:tab/>
      </w:r>
      <w:r w:rsidRPr="00127051">
        <w:rPr>
          <w:rFonts w:ascii="Arial" w:hAnsi="Arial" w:cs="Arial"/>
          <w:sz w:val="24"/>
          <w:szCs w:val="24"/>
        </w:rPr>
        <w:tab/>
      </w:r>
      <w:r w:rsidRPr="00127051">
        <w:rPr>
          <w:rFonts w:ascii="Arial" w:hAnsi="Arial" w:cs="Arial"/>
          <w:sz w:val="24"/>
          <w:szCs w:val="24"/>
        </w:rPr>
        <w:tab/>
      </w:r>
      <w:r w:rsidRPr="00127051">
        <w:rPr>
          <w:rFonts w:ascii="Arial" w:hAnsi="Arial" w:cs="Arial"/>
          <w:sz w:val="24"/>
          <w:szCs w:val="24"/>
        </w:rPr>
        <w:tab/>
      </w:r>
      <w:r w:rsidRPr="00127051">
        <w:rPr>
          <w:rFonts w:ascii="Arial" w:hAnsi="Arial" w:cs="Arial"/>
          <w:sz w:val="24"/>
          <w:szCs w:val="24"/>
        </w:rPr>
        <w:tab/>
      </w:r>
      <w:r w:rsidRPr="00127051">
        <w:rPr>
          <w:rFonts w:ascii="Arial" w:hAnsi="Arial" w:cs="Arial"/>
          <w:sz w:val="24"/>
          <w:szCs w:val="24"/>
        </w:rPr>
        <w:tab/>
      </w:r>
      <w:r w:rsidRPr="00127051">
        <w:rPr>
          <w:rFonts w:ascii="Arial" w:hAnsi="Arial" w:cs="Arial"/>
          <w:sz w:val="24"/>
          <w:szCs w:val="24"/>
        </w:rPr>
        <w:tab/>
      </w:r>
      <w:r w:rsidRPr="00127051">
        <w:rPr>
          <w:rFonts w:ascii="Arial" w:hAnsi="Arial" w:cs="Arial"/>
          <w:sz w:val="24"/>
          <w:szCs w:val="24"/>
        </w:rPr>
        <w:tab/>
      </w:r>
      <w:r w:rsidRPr="00127051">
        <w:rPr>
          <w:rFonts w:ascii="Arial" w:hAnsi="Arial" w:cs="Arial"/>
          <w:sz w:val="24"/>
          <w:szCs w:val="24"/>
        </w:rPr>
        <w:tab/>
        <w:t>Case N</w:t>
      </w:r>
      <w:r w:rsidR="006403F7" w:rsidRPr="00127051">
        <w:rPr>
          <w:rFonts w:ascii="Arial" w:hAnsi="Arial" w:cs="Arial"/>
          <w:sz w:val="24"/>
          <w:szCs w:val="24"/>
        </w:rPr>
        <w:t xml:space="preserve">o: </w:t>
      </w:r>
      <w:r w:rsidR="006403F7" w:rsidRPr="00127051">
        <w:rPr>
          <w:rFonts w:ascii="Arial" w:hAnsi="Arial" w:cs="Arial"/>
          <w:b/>
          <w:sz w:val="24"/>
          <w:szCs w:val="24"/>
        </w:rPr>
        <w:t>14658/2016</w:t>
      </w:r>
    </w:p>
    <w:p w14:paraId="7EEAFEC0" w14:textId="77777777" w:rsidR="005F2E74" w:rsidRPr="00127051" w:rsidRDefault="005F2E74" w:rsidP="00127051">
      <w:pPr>
        <w:pStyle w:val="NoSpacing"/>
        <w:jc w:val="both"/>
        <w:rPr>
          <w:rFonts w:ascii="Arial" w:hAnsi="Arial" w:cs="Arial"/>
          <w:b/>
          <w:sz w:val="24"/>
          <w:szCs w:val="24"/>
        </w:rPr>
      </w:pPr>
    </w:p>
    <w:p w14:paraId="183BFD58" w14:textId="77777777" w:rsidR="006403F7" w:rsidRPr="00127051" w:rsidRDefault="006403F7" w:rsidP="00127051">
      <w:pPr>
        <w:pStyle w:val="NoSpacing"/>
        <w:jc w:val="both"/>
        <w:rPr>
          <w:rFonts w:ascii="Arial" w:hAnsi="Arial" w:cs="Arial"/>
          <w:b/>
          <w:sz w:val="24"/>
          <w:szCs w:val="24"/>
        </w:rPr>
      </w:pPr>
    </w:p>
    <w:p w14:paraId="5072DA88" w14:textId="77777777" w:rsidR="00CD4B36" w:rsidRPr="00127051" w:rsidRDefault="00A454A1" w:rsidP="00127051">
      <w:pPr>
        <w:pStyle w:val="NoSpacing"/>
        <w:jc w:val="both"/>
        <w:rPr>
          <w:rFonts w:ascii="Arial" w:hAnsi="Arial" w:cs="Arial"/>
          <w:sz w:val="24"/>
          <w:szCs w:val="24"/>
        </w:rPr>
      </w:pPr>
      <w:r w:rsidRPr="00127051">
        <w:rPr>
          <w:rFonts w:ascii="Arial" w:hAnsi="Arial" w:cs="Arial"/>
          <w:sz w:val="24"/>
          <w:szCs w:val="24"/>
        </w:rPr>
        <w:t>In the ma</w:t>
      </w:r>
      <w:r w:rsidR="001C2579">
        <w:rPr>
          <w:rFonts w:ascii="Arial" w:hAnsi="Arial" w:cs="Arial"/>
          <w:sz w:val="24"/>
          <w:szCs w:val="24"/>
        </w:rPr>
        <w:t>t</w:t>
      </w:r>
      <w:r w:rsidRPr="00127051">
        <w:rPr>
          <w:rFonts w:ascii="Arial" w:hAnsi="Arial" w:cs="Arial"/>
          <w:sz w:val="24"/>
          <w:szCs w:val="24"/>
        </w:rPr>
        <w:t>ter between:</w:t>
      </w:r>
    </w:p>
    <w:p w14:paraId="61366AC5" w14:textId="77777777" w:rsidR="006403F7" w:rsidRPr="00127051" w:rsidRDefault="006403F7" w:rsidP="00127051">
      <w:pPr>
        <w:pStyle w:val="NoSpacing"/>
        <w:jc w:val="both"/>
        <w:rPr>
          <w:rFonts w:ascii="Arial" w:hAnsi="Arial" w:cs="Arial"/>
          <w:sz w:val="24"/>
          <w:szCs w:val="24"/>
        </w:rPr>
      </w:pPr>
    </w:p>
    <w:p w14:paraId="7FAAFFD3" w14:textId="77777777" w:rsidR="00A454A1" w:rsidRPr="00127051" w:rsidRDefault="001D36CB" w:rsidP="00127051">
      <w:pPr>
        <w:pStyle w:val="NoSpacing"/>
        <w:spacing w:line="480" w:lineRule="auto"/>
        <w:jc w:val="both"/>
        <w:rPr>
          <w:rFonts w:ascii="Arial" w:hAnsi="Arial" w:cs="Arial"/>
          <w:sz w:val="24"/>
          <w:szCs w:val="24"/>
        </w:rPr>
      </w:pPr>
      <w:r>
        <w:rPr>
          <w:rFonts w:ascii="Arial" w:hAnsi="Arial" w:cs="Arial"/>
          <w:b/>
          <w:sz w:val="24"/>
          <w:szCs w:val="24"/>
        </w:rPr>
        <w:t>MINERAL COMMODI</w:t>
      </w:r>
      <w:r w:rsidR="00A454A1" w:rsidRPr="00127051">
        <w:rPr>
          <w:rFonts w:ascii="Arial" w:hAnsi="Arial" w:cs="Arial"/>
          <w:b/>
          <w:sz w:val="24"/>
          <w:szCs w:val="24"/>
        </w:rPr>
        <w:t>TIES LIMITED</w:t>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D14CC6">
        <w:rPr>
          <w:rFonts w:ascii="Arial" w:hAnsi="Arial" w:cs="Arial"/>
          <w:b/>
          <w:sz w:val="24"/>
          <w:szCs w:val="24"/>
        </w:rPr>
        <w:t xml:space="preserve">                  </w:t>
      </w:r>
      <w:r w:rsidR="006403F7" w:rsidRPr="00127051">
        <w:rPr>
          <w:rFonts w:ascii="Arial" w:hAnsi="Arial" w:cs="Arial"/>
          <w:sz w:val="24"/>
          <w:szCs w:val="24"/>
        </w:rPr>
        <w:t xml:space="preserve">First </w:t>
      </w:r>
      <w:r w:rsidR="002738EE" w:rsidRPr="00127051">
        <w:rPr>
          <w:rFonts w:ascii="Arial" w:hAnsi="Arial" w:cs="Arial"/>
          <w:sz w:val="24"/>
          <w:szCs w:val="24"/>
        </w:rPr>
        <w:t>Plaintiff</w:t>
      </w:r>
      <w:r w:rsidR="006403F7" w:rsidRPr="00127051">
        <w:rPr>
          <w:rFonts w:ascii="Arial" w:hAnsi="Arial" w:cs="Arial"/>
          <w:sz w:val="24"/>
          <w:szCs w:val="24"/>
        </w:rPr>
        <w:t xml:space="preserve"> </w:t>
      </w:r>
    </w:p>
    <w:p w14:paraId="5E252FF2" w14:textId="77777777" w:rsidR="00A454A1" w:rsidRPr="00127051" w:rsidRDefault="00A454A1" w:rsidP="00127051">
      <w:pPr>
        <w:pStyle w:val="NoSpacing"/>
        <w:spacing w:line="480" w:lineRule="auto"/>
        <w:jc w:val="both"/>
        <w:rPr>
          <w:rFonts w:ascii="Arial" w:hAnsi="Arial" w:cs="Arial"/>
          <w:sz w:val="24"/>
          <w:szCs w:val="24"/>
        </w:rPr>
      </w:pPr>
      <w:r w:rsidRPr="00127051">
        <w:rPr>
          <w:rFonts w:ascii="Arial" w:hAnsi="Arial" w:cs="Arial"/>
          <w:b/>
          <w:sz w:val="24"/>
          <w:szCs w:val="24"/>
        </w:rPr>
        <w:t>MARK VICTOR CARUSO</w:t>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D14CC6">
        <w:rPr>
          <w:rFonts w:ascii="Arial" w:hAnsi="Arial" w:cs="Arial"/>
          <w:b/>
          <w:sz w:val="24"/>
          <w:szCs w:val="24"/>
        </w:rPr>
        <w:t xml:space="preserve">             </w:t>
      </w:r>
      <w:r w:rsidR="006403F7" w:rsidRPr="00127051">
        <w:rPr>
          <w:rFonts w:ascii="Arial" w:hAnsi="Arial" w:cs="Arial"/>
          <w:sz w:val="24"/>
          <w:szCs w:val="24"/>
        </w:rPr>
        <w:t xml:space="preserve">Second </w:t>
      </w:r>
      <w:r w:rsidR="002738EE" w:rsidRPr="00127051">
        <w:rPr>
          <w:rFonts w:ascii="Arial" w:hAnsi="Arial" w:cs="Arial"/>
          <w:sz w:val="24"/>
          <w:szCs w:val="24"/>
        </w:rPr>
        <w:t>Plaintiff</w:t>
      </w:r>
    </w:p>
    <w:p w14:paraId="53AD3F23" w14:textId="77777777" w:rsidR="00A454A1" w:rsidRPr="00127051" w:rsidRDefault="003D49E1" w:rsidP="00127051">
      <w:pPr>
        <w:pStyle w:val="NoSpacing"/>
        <w:spacing w:line="480" w:lineRule="auto"/>
        <w:jc w:val="both"/>
        <w:rPr>
          <w:rFonts w:ascii="Arial" w:hAnsi="Arial" w:cs="Arial"/>
          <w:sz w:val="24"/>
          <w:szCs w:val="24"/>
        </w:rPr>
      </w:pPr>
      <w:r w:rsidRPr="00127051">
        <w:rPr>
          <w:rFonts w:ascii="Arial" w:hAnsi="Arial" w:cs="Arial"/>
          <w:sz w:val="24"/>
          <w:szCs w:val="24"/>
        </w:rPr>
        <w:t>a</w:t>
      </w:r>
      <w:r w:rsidR="00A454A1" w:rsidRPr="00127051">
        <w:rPr>
          <w:rFonts w:ascii="Arial" w:hAnsi="Arial" w:cs="Arial"/>
          <w:sz w:val="24"/>
          <w:szCs w:val="24"/>
        </w:rPr>
        <w:t>nd</w:t>
      </w:r>
    </w:p>
    <w:p w14:paraId="385C14F5" w14:textId="77777777" w:rsidR="00A454A1" w:rsidRPr="00127051" w:rsidRDefault="005B1E39" w:rsidP="00127051">
      <w:pPr>
        <w:pStyle w:val="NoSpacing"/>
        <w:spacing w:line="480" w:lineRule="auto"/>
        <w:jc w:val="both"/>
        <w:rPr>
          <w:rFonts w:ascii="Arial" w:hAnsi="Arial" w:cs="Arial"/>
          <w:b/>
          <w:sz w:val="24"/>
          <w:szCs w:val="24"/>
        </w:rPr>
      </w:pPr>
      <w:r w:rsidRPr="00127051">
        <w:rPr>
          <w:rFonts w:ascii="Arial" w:hAnsi="Arial" w:cs="Arial"/>
          <w:b/>
          <w:sz w:val="24"/>
          <w:szCs w:val="24"/>
        </w:rPr>
        <w:t>MZAMO D</w:t>
      </w:r>
      <w:r w:rsidR="00A454A1" w:rsidRPr="00127051">
        <w:rPr>
          <w:rFonts w:ascii="Arial" w:hAnsi="Arial" w:cs="Arial"/>
          <w:b/>
          <w:sz w:val="24"/>
          <w:szCs w:val="24"/>
        </w:rPr>
        <w:t>LAMINI</w:t>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D14CC6">
        <w:rPr>
          <w:rFonts w:ascii="Arial" w:hAnsi="Arial" w:cs="Arial"/>
          <w:b/>
          <w:sz w:val="24"/>
          <w:szCs w:val="24"/>
        </w:rPr>
        <w:t xml:space="preserve">             </w:t>
      </w:r>
      <w:r w:rsidR="006403F7" w:rsidRPr="00127051">
        <w:rPr>
          <w:rFonts w:ascii="Arial" w:hAnsi="Arial" w:cs="Arial"/>
          <w:sz w:val="24"/>
          <w:szCs w:val="24"/>
        </w:rPr>
        <w:t xml:space="preserve">First </w:t>
      </w:r>
      <w:r w:rsidR="00BD4731" w:rsidRPr="00127051">
        <w:rPr>
          <w:rFonts w:ascii="Arial" w:hAnsi="Arial" w:cs="Arial"/>
          <w:sz w:val="24"/>
          <w:szCs w:val="24"/>
        </w:rPr>
        <w:t>Defendant</w:t>
      </w:r>
    </w:p>
    <w:p w14:paraId="3F9CBC6B" w14:textId="77777777" w:rsidR="00A454A1" w:rsidRPr="00127051" w:rsidRDefault="00A454A1" w:rsidP="00127051">
      <w:pPr>
        <w:pStyle w:val="NoSpacing"/>
        <w:spacing w:line="480" w:lineRule="auto"/>
        <w:jc w:val="both"/>
        <w:rPr>
          <w:rFonts w:ascii="Arial" w:hAnsi="Arial" w:cs="Arial"/>
          <w:sz w:val="24"/>
          <w:szCs w:val="24"/>
        </w:rPr>
      </w:pPr>
      <w:r w:rsidRPr="00127051">
        <w:rPr>
          <w:rFonts w:ascii="Arial" w:hAnsi="Arial" w:cs="Arial"/>
          <w:b/>
          <w:sz w:val="24"/>
          <w:szCs w:val="24"/>
        </w:rPr>
        <w:t>CORMAC CULLINAN</w:t>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6403F7" w:rsidRPr="00127051">
        <w:rPr>
          <w:rFonts w:ascii="Arial" w:hAnsi="Arial" w:cs="Arial"/>
          <w:b/>
          <w:sz w:val="24"/>
          <w:szCs w:val="24"/>
        </w:rPr>
        <w:tab/>
      </w:r>
      <w:r w:rsidR="00D14CC6">
        <w:rPr>
          <w:rFonts w:ascii="Arial" w:hAnsi="Arial" w:cs="Arial"/>
          <w:b/>
          <w:sz w:val="24"/>
          <w:szCs w:val="24"/>
        </w:rPr>
        <w:t xml:space="preserve">        </w:t>
      </w:r>
      <w:r w:rsidR="006403F7" w:rsidRPr="00127051">
        <w:rPr>
          <w:rFonts w:ascii="Arial" w:hAnsi="Arial" w:cs="Arial"/>
          <w:sz w:val="24"/>
          <w:szCs w:val="24"/>
        </w:rPr>
        <w:t xml:space="preserve">Second </w:t>
      </w:r>
      <w:r w:rsidR="00BD4731" w:rsidRPr="00127051">
        <w:rPr>
          <w:rFonts w:ascii="Arial" w:hAnsi="Arial" w:cs="Arial"/>
          <w:sz w:val="24"/>
          <w:szCs w:val="24"/>
        </w:rPr>
        <w:t>Defendant</w:t>
      </w:r>
    </w:p>
    <w:p w14:paraId="7AF51E4C" w14:textId="77777777" w:rsidR="006403F7" w:rsidRPr="00127051" w:rsidRDefault="006403F7" w:rsidP="00127051">
      <w:pPr>
        <w:pStyle w:val="NoSpacing"/>
        <w:spacing w:line="480" w:lineRule="auto"/>
        <w:jc w:val="both"/>
        <w:rPr>
          <w:rFonts w:ascii="Arial" w:hAnsi="Arial" w:cs="Arial"/>
          <w:b/>
          <w:sz w:val="24"/>
          <w:szCs w:val="24"/>
        </w:rPr>
      </w:pP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p>
    <w:p w14:paraId="28984A1D" w14:textId="77777777" w:rsidR="006403F7" w:rsidRPr="00127051" w:rsidRDefault="005F2E74" w:rsidP="00127051">
      <w:pPr>
        <w:pStyle w:val="NoSpacing"/>
        <w:spacing w:line="480" w:lineRule="auto"/>
        <w:jc w:val="both"/>
        <w:rPr>
          <w:rFonts w:ascii="Arial" w:hAnsi="Arial" w:cs="Arial"/>
          <w:b/>
          <w:sz w:val="24"/>
          <w:szCs w:val="24"/>
        </w:rPr>
      </w:pPr>
      <w:r w:rsidRPr="00127051">
        <w:rPr>
          <w:rFonts w:ascii="Arial" w:hAnsi="Arial" w:cs="Arial"/>
          <w:b/>
          <w:sz w:val="24"/>
          <w:szCs w:val="24"/>
        </w:rPr>
        <w:lastRenderedPageBreak/>
        <w:tab/>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Pr="00127051">
        <w:rPr>
          <w:rFonts w:ascii="Arial" w:hAnsi="Arial" w:cs="Arial"/>
          <w:b/>
          <w:sz w:val="24"/>
          <w:szCs w:val="24"/>
        </w:rPr>
        <w:tab/>
      </w:r>
      <w:r w:rsidR="004343DF" w:rsidRPr="00127051">
        <w:rPr>
          <w:rFonts w:ascii="Arial" w:hAnsi="Arial" w:cs="Arial"/>
          <w:sz w:val="24"/>
          <w:szCs w:val="24"/>
        </w:rPr>
        <w:t>Case N</w:t>
      </w:r>
      <w:r w:rsidR="006403F7" w:rsidRPr="00127051">
        <w:rPr>
          <w:rFonts w:ascii="Arial" w:hAnsi="Arial" w:cs="Arial"/>
          <w:sz w:val="24"/>
          <w:szCs w:val="24"/>
        </w:rPr>
        <w:t xml:space="preserve">o: </w:t>
      </w:r>
      <w:r w:rsidR="006403F7" w:rsidRPr="00127051">
        <w:rPr>
          <w:rFonts w:ascii="Arial" w:hAnsi="Arial" w:cs="Arial"/>
          <w:b/>
          <w:sz w:val="24"/>
          <w:szCs w:val="24"/>
        </w:rPr>
        <w:t>12543/2016</w:t>
      </w:r>
    </w:p>
    <w:p w14:paraId="756001CA" w14:textId="77777777" w:rsidR="005F2E74" w:rsidRPr="00127051" w:rsidRDefault="005F2E74" w:rsidP="00127051">
      <w:pPr>
        <w:pStyle w:val="NoSpacing"/>
        <w:jc w:val="both"/>
        <w:rPr>
          <w:rFonts w:ascii="Arial" w:hAnsi="Arial" w:cs="Arial"/>
          <w:b/>
          <w:sz w:val="24"/>
          <w:szCs w:val="24"/>
        </w:rPr>
      </w:pPr>
    </w:p>
    <w:p w14:paraId="7F31989E" w14:textId="77777777" w:rsidR="006403F7" w:rsidRPr="00127051" w:rsidRDefault="006403F7" w:rsidP="00127051">
      <w:pPr>
        <w:pStyle w:val="NoSpacing"/>
        <w:spacing w:line="480" w:lineRule="auto"/>
        <w:jc w:val="both"/>
        <w:rPr>
          <w:rFonts w:ascii="Arial" w:hAnsi="Arial" w:cs="Arial"/>
          <w:sz w:val="24"/>
          <w:szCs w:val="24"/>
        </w:rPr>
      </w:pPr>
      <w:r w:rsidRPr="00127051">
        <w:rPr>
          <w:rFonts w:ascii="Arial" w:hAnsi="Arial" w:cs="Arial"/>
          <w:sz w:val="24"/>
          <w:szCs w:val="24"/>
        </w:rPr>
        <w:t>In the matter between:</w:t>
      </w:r>
    </w:p>
    <w:p w14:paraId="2CB8D784" w14:textId="77777777" w:rsidR="006403F7" w:rsidRPr="001C5BA8" w:rsidRDefault="00E1686D" w:rsidP="00127051">
      <w:pPr>
        <w:pStyle w:val="NoSpacing"/>
        <w:spacing w:line="480" w:lineRule="auto"/>
        <w:jc w:val="both"/>
        <w:rPr>
          <w:rFonts w:ascii="Arial" w:hAnsi="Arial" w:cs="Arial"/>
          <w:sz w:val="24"/>
          <w:szCs w:val="24"/>
        </w:rPr>
      </w:pPr>
      <w:r w:rsidRPr="00127051">
        <w:rPr>
          <w:rFonts w:ascii="Arial" w:hAnsi="Arial" w:cs="Arial"/>
          <w:b/>
          <w:sz w:val="24"/>
          <w:szCs w:val="24"/>
        </w:rPr>
        <w:t>MINERAL COMMODI</w:t>
      </w:r>
      <w:r w:rsidR="006403F7" w:rsidRPr="00127051">
        <w:rPr>
          <w:rFonts w:ascii="Arial" w:hAnsi="Arial" w:cs="Arial"/>
          <w:b/>
          <w:sz w:val="24"/>
          <w:szCs w:val="24"/>
        </w:rPr>
        <w:t>TIES LIMITED</w:t>
      </w:r>
      <w:r w:rsidR="001C5BA8">
        <w:rPr>
          <w:rFonts w:ascii="Arial" w:hAnsi="Arial" w:cs="Arial"/>
          <w:b/>
          <w:sz w:val="24"/>
          <w:szCs w:val="24"/>
        </w:rPr>
        <w:tab/>
      </w:r>
      <w:r w:rsidR="001C5BA8">
        <w:rPr>
          <w:rFonts w:ascii="Arial" w:hAnsi="Arial" w:cs="Arial"/>
          <w:b/>
          <w:sz w:val="24"/>
          <w:szCs w:val="24"/>
        </w:rPr>
        <w:tab/>
      </w:r>
      <w:r w:rsidR="001C5BA8">
        <w:rPr>
          <w:rFonts w:ascii="Arial" w:hAnsi="Arial" w:cs="Arial"/>
          <w:b/>
          <w:sz w:val="24"/>
          <w:szCs w:val="24"/>
        </w:rPr>
        <w:tab/>
      </w:r>
      <w:r w:rsidR="001C5BA8">
        <w:rPr>
          <w:rFonts w:ascii="Arial" w:hAnsi="Arial" w:cs="Arial"/>
          <w:b/>
          <w:sz w:val="24"/>
          <w:szCs w:val="24"/>
        </w:rPr>
        <w:tab/>
      </w:r>
      <w:r w:rsidR="001C5BA8">
        <w:rPr>
          <w:rFonts w:ascii="Arial" w:hAnsi="Arial" w:cs="Arial"/>
          <w:b/>
          <w:sz w:val="24"/>
          <w:szCs w:val="24"/>
        </w:rPr>
        <w:tab/>
        <w:t xml:space="preserve">       </w:t>
      </w:r>
      <w:r w:rsidR="001C5BA8">
        <w:rPr>
          <w:rFonts w:ascii="Arial" w:hAnsi="Arial" w:cs="Arial"/>
          <w:sz w:val="24"/>
          <w:szCs w:val="24"/>
        </w:rPr>
        <w:t>First Plaintiff</w:t>
      </w:r>
    </w:p>
    <w:p w14:paraId="4A30AF01" w14:textId="77777777" w:rsidR="006403F7" w:rsidRPr="001C5BA8" w:rsidRDefault="006403F7" w:rsidP="00127051">
      <w:pPr>
        <w:pStyle w:val="NoSpacing"/>
        <w:spacing w:line="480" w:lineRule="auto"/>
        <w:jc w:val="both"/>
        <w:rPr>
          <w:rFonts w:ascii="Arial" w:hAnsi="Arial" w:cs="Arial"/>
          <w:sz w:val="24"/>
          <w:szCs w:val="24"/>
        </w:rPr>
      </w:pPr>
      <w:r w:rsidRPr="00127051">
        <w:rPr>
          <w:rFonts w:ascii="Arial" w:hAnsi="Arial" w:cs="Arial"/>
          <w:b/>
          <w:sz w:val="24"/>
          <w:szCs w:val="24"/>
        </w:rPr>
        <w:t>MARK VICTOR CARUSO</w:t>
      </w:r>
      <w:r w:rsidR="001C5BA8">
        <w:rPr>
          <w:rFonts w:ascii="Arial" w:hAnsi="Arial" w:cs="Arial"/>
          <w:b/>
          <w:sz w:val="24"/>
          <w:szCs w:val="24"/>
        </w:rPr>
        <w:tab/>
      </w:r>
      <w:r w:rsidR="001C5BA8">
        <w:rPr>
          <w:rFonts w:ascii="Arial" w:hAnsi="Arial" w:cs="Arial"/>
          <w:b/>
          <w:sz w:val="24"/>
          <w:szCs w:val="24"/>
        </w:rPr>
        <w:tab/>
      </w:r>
      <w:r w:rsidR="001C5BA8">
        <w:rPr>
          <w:rFonts w:ascii="Arial" w:hAnsi="Arial" w:cs="Arial"/>
          <w:b/>
          <w:sz w:val="24"/>
          <w:szCs w:val="24"/>
        </w:rPr>
        <w:tab/>
      </w:r>
      <w:r w:rsidR="001C5BA8">
        <w:rPr>
          <w:rFonts w:ascii="Arial" w:hAnsi="Arial" w:cs="Arial"/>
          <w:b/>
          <w:sz w:val="24"/>
          <w:szCs w:val="24"/>
        </w:rPr>
        <w:tab/>
      </w:r>
      <w:r w:rsidR="001C5BA8">
        <w:rPr>
          <w:rFonts w:ascii="Arial" w:hAnsi="Arial" w:cs="Arial"/>
          <w:b/>
          <w:sz w:val="24"/>
          <w:szCs w:val="24"/>
        </w:rPr>
        <w:tab/>
      </w:r>
      <w:r w:rsidR="001C5BA8">
        <w:rPr>
          <w:rFonts w:ascii="Arial" w:hAnsi="Arial" w:cs="Arial"/>
          <w:b/>
          <w:sz w:val="24"/>
          <w:szCs w:val="24"/>
        </w:rPr>
        <w:tab/>
        <w:t xml:space="preserve">             </w:t>
      </w:r>
      <w:r w:rsidR="001C5BA8">
        <w:rPr>
          <w:rFonts w:ascii="Arial" w:hAnsi="Arial" w:cs="Arial"/>
          <w:sz w:val="24"/>
          <w:szCs w:val="24"/>
        </w:rPr>
        <w:t>Second Plaintiff</w:t>
      </w:r>
    </w:p>
    <w:p w14:paraId="48B6A137" w14:textId="77777777" w:rsidR="006403F7" w:rsidRPr="00127051" w:rsidRDefault="004343DF" w:rsidP="00127051">
      <w:pPr>
        <w:pStyle w:val="NoSpacing"/>
        <w:spacing w:line="480" w:lineRule="auto"/>
        <w:jc w:val="both"/>
        <w:rPr>
          <w:rFonts w:ascii="Arial" w:hAnsi="Arial" w:cs="Arial"/>
          <w:sz w:val="24"/>
          <w:szCs w:val="24"/>
        </w:rPr>
      </w:pPr>
      <w:r w:rsidRPr="00127051">
        <w:rPr>
          <w:rFonts w:ascii="Arial" w:hAnsi="Arial" w:cs="Arial"/>
          <w:sz w:val="24"/>
          <w:szCs w:val="24"/>
        </w:rPr>
        <w:t>a</w:t>
      </w:r>
      <w:r w:rsidR="006403F7" w:rsidRPr="00127051">
        <w:rPr>
          <w:rFonts w:ascii="Arial" w:hAnsi="Arial" w:cs="Arial"/>
          <w:sz w:val="24"/>
          <w:szCs w:val="24"/>
        </w:rPr>
        <w:t>nd</w:t>
      </w:r>
    </w:p>
    <w:p w14:paraId="21538B61" w14:textId="77777777" w:rsidR="006403F7" w:rsidRPr="001C5BA8" w:rsidRDefault="006403F7" w:rsidP="00127051">
      <w:pPr>
        <w:pStyle w:val="NoSpacing"/>
        <w:spacing w:line="480" w:lineRule="auto"/>
        <w:jc w:val="both"/>
        <w:rPr>
          <w:rFonts w:ascii="Arial" w:hAnsi="Arial" w:cs="Arial"/>
          <w:sz w:val="24"/>
          <w:szCs w:val="24"/>
        </w:rPr>
      </w:pPr>
      <w:r w:rsidRPr="00127051">
        <w:rPr>
          <w:rFonts w:ascii="Arial" w:hAnsi="Arial" w:cs="Arial"/>
          <w:b/>
          <w:sz w:val="24"/>
          <w:szCs w:val="24"/>
        </w:rPr>
        <w:t>JOHN GERARD INGRAM CLARKE</w:t>
      </w:r>
      <w:r w:rsidR="001C5BA8">
        <w:rPr>
          <w:rFonts w:ascii="Arial" w:hAnsi="Arial" w:cs="Arial"/>
          <w:b/>
          <w:sz w:val="24"/>
          <w:szCs w:val="24"/>
        </w:rPr>
        <w:tab/>
      </w:r>
      <w:r w:rsidR="001C5BA8">
        <w:rPr>
          <w:rFonts w:ascii="Arial" w:hAnsi="Arial" w:cs="Arial"/>
          <w:b/>
          <w:sz w:val="24"/>
          <w:szCs w:val="24"/>
        </w:rPr>
        <w:tab/>
      </w:r>
      <w:r w:rsidR="001C5BA8">
        <w:rPr>
          <w:rFonts w:ascii="Arial" w:hAnsi="Arial" w:cs="Arial"/>
          <w:b/>
          <w:sz w:val="24"/>
          <w:szCs w:val="24"/>
        </w:rPr>
        <w:tab/>
      </w:r>
      <w:r w:rsidR="001C5BA8">
        <w:rPr>
          <w:rFonts w:ascii="Arial" w:hAnsi="Arial" w:cs="Arial"/>
          <w:b/>
          <w:sz w:val="24"/>
          <w:szCs w:val="24"/>
        </w:rPr>
        <w:tab/>
      </w:r>
      <w:r w:rsidR="001C5BA8">
        <w:rPr>
          <w:rFonts w:ascii="Arial" w:hAnsi="Arial" w:cs="Arial"/>
          <w:b/>
          <w:sz w:val="24"/>
          <w:szCs w:val="24"/>
        </w:rPr>
        <w:tab/>
        <w:t xml:space="preserve">          </w:t>
      </w:r>
      <w:r w:rsidR="001C5BA8">
        <w:rPr>
          <w:rFonts w:ascii="Arial" w:hAnsi="Arial" w:cs="Arial"/>
          <w:sz w:val="24"/>
          <w:szCs w:val="24"/>
        </w:rPr>
        <w:t>Defendant</w:t>
      </w:r>
    </w:p>
    <w:p w14:paraId="1D16DE42" w14:textId="77777777" w:rsidR="00C82BE4" w:rsidRPr="00127051" w:rsidRDefault="00C82BE4" w:rsidP="00127051">
      <w:pPr>
        <w:tabs>
          <w:tab w:val="left" w:pos="33"/>
        </w:tabs>
        <w:spacing w:after="0" w:line="240" w:lineRule="auto"/>
        <w:ind w:left="33" w:hanging="33"/>
        <w:jc w:val="both"/>
        <w:rPr>
          <w:sz w:val="24"/>
          <w:szCs w:val="24"/>
        </w:rPr>
      </w:pPr>
    </w:p>
    <w:p w14:paraId="11595189" w14:textId="77777777" w:rsidR="00C82BE4" w:rsidRPr="00127051" w:rsidRDefault="00C82BE4" w:rsidP="00127051">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240" w:lineRule="auto"/>
        <w:jc w:val="both"/>
        <w:rPr>
          <w:rFonts w:ascii="Arial" w:hAnsi="Arial" w:cs="Arial"/>
          <w:sz w:val="24"/>
          <w:szCs w:val="24"/>
        </w:rPr>
      </w:pPr>
      <w:r w:rsidRPr="00127051">
        <w:rPr>
          <w:rFonts w:ascii="Arial" w:hAnsi="Arial" w:cs="Arial"/>
          <w:b/>
          <w:sz w:val="24"/>
          <w:szCs w:val="24"/>
        </w:rPr>
        <w:t>Coram:</w:t>
      </w:r>
      <w:r w:rsidRPr="00127051">
        <w:rPr>
          <w:rFonts w:ascii="Arial" w:hAnsi="Arial" w:cs="Arial"/>
          <w:sz w:val="24"/>
          <w:szCs w:val="24"/>
        </w:rPr>
        <w:t xml:space="preserve"> Goliath DJP </w:t>
      </w:r>
    </w:p>
    <w:p w14:paraId="2A99BA28" w14:textId="77777777" w:rsidR="00C82BE4" w:rsidRPr="00127051" w:rsidRDefault="001C5BA8" w:rsidP="00127051">
      <w:pPr>
        <w:tabs>
          <w:tab w:val="right" w:pos="9072"/>
        </w:tabs>
        <w:spacing w:line="240" w:lineRule="auto"/>
        <w:jc w:val="both"/>
        <w:rPr>
          <w:rFonts w:ascii="Arial" w:hAnsi="Arial" w:cs="Arial"/>
          <w:sz w:val="24"/>
          <w:szCs w:val="24"/>
        </w:rPr>
      </w:pPr>
      <w:r>
        <w:rPr>
          <w:rFonts w:ascii="Arial" w:hAnsi="Arial" w:cs="Arial"/>
          <w:b/>
          <w:sz w:val="24"/>
          <w:szCs w:val="24"/>
        </w:rPr>
        <w:t>Judgment delivered</w:t>
      </w:r>
      <w:r w:rsidR="00954185" w:rsidRPr="00127051">
        <w:rPr>
          <w:rFonts w:ascii="Arial" w:hAnsi="Arial" w:cs="Arial"/>
          <w:sz w:val="24"/>
          <w:szCs w:val="24"/>
        </w:rPr>
        <w:t xml:space="preserve"> </w:t>
      </w:r>
    </w:p>
    <w:p w14:paraId="66874BA6" w14:textId="77777777" w:rsidR="00CD4B36" w:rsidRPr="00127051" w:rsidRDefault="00C82BE4" w:rsidP="00127051">
      <w:pPr>
        <w:tabs>
          <w:tab w:val="right" w:pos="9072"/>
        </w:tabs>
        <w:spacing w:line="240" w:lineRule="auto"/>
        <w:jc w:val="both"/>
        <w:rPr>
          <w:rFonts w:ascii="Arial" w:hAnsi="Arial" w:cs="Arial"/>
          <w:sz w:val="24"/>
          <w:szCs w:val="24"/>
        </w:rPr>
      </w:pPr>
      <w:r w:rsidRPr="00127051">
        <w:rPr>
          <w:rFonts w:ascii="Arial" w:hAnsi="Arial" w:cs="Arial"/>
          <w:sz w:val="24"/>
          <w:szCs w:val="24"/>
        </w:rPr>
        <w:t xml:space="preserve">Delivered electronically: </w:t>
      </w:r>
      <w:r w:rsidR="001C5BA8">
        <w:rPr>
          <w:rFonts w:ascii="Arial" w:hAnsi="Arial" w:cs="Arial"/>
          <w:sz w:val="24"/>
          <w:szCs w:val="24"/>
        </w:rPr>
        <w:t>09 February 2021</w:t>
      </w:r>
    </w:p>
    <w:p w14:paraId="6F6E0534" w14:textId="77777777" w:rsidR="00C82BE4" w:rsidRPr="00C82BE4" w:rsidRDefault="00C82BE4" w:rsidP="00C82BE4">
      <w:pPr>
        <w:tabs>
          <w:tab w:val="right" w:pos="9072"/>
        </w:tabs>
        <w:spacing w:after="0" w:line="240" w:lineRule="auto"/>
        <w:jc w:val="both"/>
        <w:rPr>
          <w:rFonts w:ascii="Arial" w:hAnsi="Arial" w:cs="Arial"/>
          <w:sz w:val="24"/>
          <w:szCs w:val="24"/>
        </w:rPr>
      </w:pPr>
    </w:p>
    <w:p w14:paraId="6ACA9D4A" w14:textId="77777777" w:rsidR="00CD4B36" w:rsidRDefault="00CD4B36" w:rsidP="00CD4B36">
      <w:pPr>
        <w:pBdr>
          <w:top w:val="single" w:sz="12" w:space="1" w:color="auto"/>
          <w:bottom w:val="single" w:sz="12" w:space="1" w:color="auto"/>
        </w:pBdr>
        <w:spacing w:after="0" w:line="240" w:lineRule="auto"/>
        <w:jc w:val="center"/>
        <w:rPr>
          <w:rFonts w:ascii="Arial" w:hAnsi="Arial" w:cs="Arial"/>
          <w:b/>
          <w:sz w:val="24"/>
          <w:szCs w:val="24"/>
        </w:rPr>
      </w:pPr>
    </w:p>
    <w:p w14:paraId="7A011465" w14:textId="77777777" w:rsidR="00CD4B36" w:rsidRPr="00C82BE4" w:rsidRDefault="00CD4B36" w:rsidP="00C82BE4">
      <w:pPr>
        <w:pBdr>
          <w:top w:val="single" w:sz="12" w:space="1" w:color="auto"/>
          <w:bottom w:val="single" w:sz="12" w:space="1" w:color="auto"/>
        </w:pBdr>
        <w:spacing w:after="0" w:line="240" w:lineRule="auto"/>
        <w:jc w:val="center"/>
        <w:rPr>
          <w:rFonts w:ascii="Arial" w:hAnsi="Arial" w:cs="Arial"/>
          <w:b/>
          <w:sz w:val="24"/>
          <w:szCs w:val="24"/>
        </w:rPr>
      </w:pPr>
      <w:r w:rsidRPr="00C82BE4">
        <w:rPr>
          <w:rFonts w:ascii="Arial" w:hAnsi="Arial" w:cs="Arial"/>
          <w:b/>
          <w:sz w:val="24"/>
          <w:szCs w:val="24"/>
        </w:rPr>
        <w:t>JUDGMENT</w:t>
      </w:r>
    </w:p>
    <w:p w14:paraId="167851EB" w14:textId="77777777" w:rsidR="00CD4B36" w:rsidRDefault="00CD4B36" w:rsidP="00CD4B36">
      <w:pPr>
        <w:pBdr>
          <w:top w:val="single" w:sz="12" w:space="1" w:color="auto"/>
          <w:bottom w:val="single" w:sz="12" w:space="1" w:color="auto"/>
        </w:pBdr>
        <w:spacing w:after="0" w:line="240" w:lineRule="auto"/>
        <w:jc w:val="center"/>
        <w:rPr>
          <w:rFonts w:ascii="Arial" w:hAnsi="Arial" w:cs="Arial"/>
          <w:b/>
          <w:sz w:val="24"/>
          <w:szCs w:val="24"/>
        </w:rPr>
      </w:pPr>
    </w:p>
    <w:p w14:paraId="20EB5527" w14:textId="77777777" w:rsidR="00CD4B36" w:rsidRDefault="00CD4B36" w:rsidP="00C82BE4">
      <w:pPr>
        <w:spacing w:after="0" w:line="240" w:lineRule="auto"/>
        <w:rPr>
          <w:rFonts w:ascii="Arial" w:hAnsi="Arial" w:cs="Arial"/>
          <w:b/>
          <w:sz w:val="24"/>
          <w:szCs w:val="24"/>
        </w:rPr>
      </w:pPr>
    </w:p>
    <w:p w14:paraId="7F2E7628" w14:textId="77777777" w:rsidR="00C82BE4" w:rsidRDefault="00CD4B36" w:rsidP="009F213D">
      <w:pPr>
        <w:spacing w:line="240" w:lineRule="auto"/>
        <w:rPr>
          <w:rFonts w:ascii="Arial" w:hAnsi="Arial" w:cs="Arial"/>
          <w:b/>
          <w:sz w:val="24"/>
          <w:szCs w:val="24"/>
          <w:u w:val="single"/>
        </w:rPr>
      </w:pPr>
      <w:r w:rsidRPr="00724141">
        <w:rPr>
          <w:rFonts w:ascii="Arial" w:hAnsi="Arial" w:cs="Arial"/>
          <w:b/>
          <w:sz w:val="24"/>
          <w:szCs w:val="24"/>
          <w:u w:val="single"/>
        </w:rPr>
        <w:t>GOLIATH DJP</w:t>
      </w:r>
    </w:p>
    <w:p w14:paraId="3477D731" w14:textId="77777777" w:rsidR="009F213D" w:rsidRDefault="009F213D" w:rsidP="009F213D">
      <w:pPr>
        <w:spacing w:after="0" w:line="240" w:lineRule="auto"/>
        <w:rPr>
          <w:rFonts w:ascii="Arial" w:hAnsi="Arial" w:cs="Arial"/>
          <w:b/>
          <w:sz w:val="24"/>
          <w:szCs w:val="24"/>
          <w:u w:val="single"/>
        </w:rPr>
      </w:pPr>
    </w:p>
    <w:p w14:paraId="7487339C" w14:textId="77777777" w:rsidR="006120E6" w:rsidRPr="004555B6" w:rsidRDefault="006120E6" w:rsidP="00496F57">
      <w:pPr>
        <w:pStyle w:val="NoSpacing"/>
        <w:jc w:val="both"/>
        <w:rPr>
          <w:rFonts w:ascii="Arial" w:hAnsi="Arial" w:cs="Arial"/>
          <w:i/>
        </w:rPr>
      </w:pPr>
      <w:r>
        <w:tab/>
      </w:r>
      <w:r>
        <w:tab/>
      </w:r>
      <w:r w:rsidRPr="004555B6">
        <w:rPr>
          <w:rFonts w:ascii="Arial" w:hAnsi="Arial" w:cs="Arial"/>
          <w:i/>
        </w:rPr>
        <w:t xml:space="preserve">“Like a pebble thrown in water a single </w:t>
      </w:r>
      <w:r w:rsidR="00FF5CFD">
        <w:rPr>
          <w:rFonts w:ascii="Arial" w:hAnsi="Arial" w:cs="Arial"/>
          <w:i/>
        </w:rPr>
        <w:t>SLAPP</w:t>
      </w:r>
      <w:r w:rsidR="005466A1">
        <w:rPr>
          <w:rStyle w:val="FootnoteReference"/>
          <w:rFonts w:ascii="Arial" w:hAnsi="Arial" w:cs="Arial"/>
          <w:i/>
        </w:rPr>
        <w:footnoteReference w:id="1"/>
      </w:r>
      <w:r w:rsidRPr="004555B6">
        <w:rPr>
          <w:rFonts w:ascii="Arial" w:hAnsi="Arial" w:cs="Arial"/>
          <w:i/>
        </w:rPr>
        <w:t xml:space="preserve"> can have effects far </w:t>
      </w:r>
    </w:p>
    <w:p w14:paraId="01D3EC73" w14:textId="77777777" w:rsidR="00864D81" w:rsidRPr="004555B6" w:rsidRDefault="006120E6" w:rsidP="00496F57">
      <w:pPr>
        <w:pStyle w:val="NoSpacing"/>
        <w:jc w:val="both"/>
        <w:rPr>
          <w:rFonts w:ascii="Arial" w:hAnsi="Arial" w:cs="Arial"/>
          <w:i/>
        </w:rPr>
      </w:pPr>
      <w:r w:rsidRPr="004555B6">
        <w:rPr>
          <w:rFonts w:ascii="Arial" w:hAnsi="Arial" w:cs="Arial"/>
          <w:i/>
        </w:rPr>
        <w:tab/>
      </w:r>
      <w:r w:rsidRPr="004555B6">
        <w:rPr>
          <w:rFonts w:ascii="Arial" w:hAnsi="Arial" w:cs="Arial"/>
          <w:i/>
        </w:rPr>
        <w:tab/>
        <w:t>beyond its initial impact”</w:t>
      </w:r>
      <w:r w:rsidR="00864D81" w:rsidRPr="004555B6">
        <w:rPr>
          <w:rFonts w:ascii="Arial" w:hAnsi="Arial" w:cs="Arial"/>
          <w:i/>
        </w:rPr>
        <w:t xml:space="preserve">  </w:t>
      </w:r>
    </w:p>
    <w:p w14:paraId="3A22A629" w14:textId="77777777" w:rsidR="00BC55D1" w:rsidRPr="00864D81" w:rsidRDefault="006120E6" w:rsidP="00496F57">
      <w:pPr>
        <w:ind w:left="1440"/>
        <w:jc w:val="both"/>
        <w:rPr>
          <w:rFonts w:ascii="Arial" w:hAnsi="Arial" w:cs="Arial"/>
          <w:i/>
          <w:sz w:val="24"/>
          <w:szCs w:val="24"/>
        </w:rPr>
      </w:pPr>
      <w:r w:rsidRPr="00864D81">
        <w:rPr>
          <w:rFonts w:ascii="Arial" w:hAnsi="Arial" w:cs="Arial"/>
          <w:sz w:val="20"/>
          <w:szCs w:val="20"/>
        </w:rPr>
        <w:t xml:space="preserve">Penelope </w:t>
      </w:r>
      <w:proofErr w:type="spellStart"/>
      <w:r w:rsidRPr="00864D81">
        <w:rPr>
          <w:rFonts w:ascii="Arial" w:hAnsi="Arial" w:cs="Arial"/>
          <w:sz w:val="20"/>
          <w:szCs w:val="20"/>
        </w:rPr>
        <w:t>Canan</w:t>
      </w:r>
      <w:proofErr w:type="spellEnd"/>
      <w:r w:rsidR="00085700">
        <w:rPr>
          <w:rFonts w:ascii="Arial" w:hAnsi="Arial" w:cs="Arial"/>
          <w:sz w:val="20"/>
          <w:szCs w:val="20"/>
        </w:rPr>
        <w:t xml:space="preserve">, </w:t>
      </w:r>
      <w:r w:rsidR="00E62832">
        <w:rPr>
          <w:rFonts w:ascii="Arial" w:hAnsi="Arial" w:cs="Arial"/>
          <w:sz w:val="20"/>
          <w:szCs w:val="20"/>
        </w:rPr>
        <w:t xml:space="preserve">The </w:t>
      </w:r>
      <w:r w:rsidR="00FF5CFD">
        <w:rPr>
          <w:rFonts w:ascii="Arial" w:hAnsi="Arial" w:cs="Arial"/>
          <w:sz w:val="20"/>
          <w:szCs w:val="20"/>
        </w:rPr>
        <w:t>SLAPP</w:t>
      </w:r>
      <w:r w:rsidRPr="00864D81">
        <w:rPr>
          <w:rFonts w:ascii="Arial" w:hAnsi="Arial" w:cs="Arial"/>
          <w:sz w:val="20"/>
          <w:szCs w:val="20"/>
        </w:rPr>
        <w:t xml:space="preserve"> from a Sociological Perspective</w:t>
      </w:r>
      <w:r w:rsidR="00085700">
        <w:rPr>
          <w:rFonts w:ascii="Arial" w:hAnsi="Arial" w:cs="Arial"/>
          <w:sz w:val="20"/>
          <w:szCs w:val="20"/>
        </w:rPr>
        <w:t>,</w:t>
      </w:r>
      <w:r w:rsidRPr="00864D81">
        <w:rPr>
          <w:rFonts w:ascii="Arial" w:hAnsi="Arial" w:cs="Arial"/>
          <w:sz w:val="20"/>
          <w:szCs w:val="20"/>
        </w:rPr>
        <w:t xml:space="preserve"> 1989.</w:t>
      </w:r>
    </w:p>
    <w:p w14:paraId="5E4D3715" w14:textId="77777777" w:rsidR="00BC55D1" w:rsidRPr="006120E6" w:rsidRDefault="00BC55D1" w:rsidP="00BC55D1">
      <w:pPr>
        <w:spacing w:line="240" w:lineRule="auto"/>
        <w:rPr>
          <w:rFonts w:ascii="Arial" w:hAnsi="Arial" w:cs="Arial"/>
          <w:sz w:val="24"/>
          <w:szCs w:val="24"/>
        </w:rPr>
      </w:pPr>
    </w:p>
    <w:p w14:paraId="5346F659" w14:textId="77777777" w:rsidR="002E6111" w:rsidRDefault="00AF2387" w:rsidP="00EC6AB2">
      <w:pPr>
        <w:spacing w:after="0" w:line="360" w:lineRule="auto"/>
        <w:rPr>
          <w:rFonts w:ascii="Arial" w:hAnsi="Arial" w:cs="Arial"/>
          <w:b/>
          <w:sz w:val="24"/>
          <w:szCs w:val="24"/>
          <w:u w:val="single"/>
        </w:rPr>
      </w:pPr>
      <w:r>
        <w:rPr>
          <w:rFonts w:ascii="Arial" w:hAnsi="Arial" w:cs="Arial"/>
          <w:b/>
          <w:sz w:val="24"/>
          <w:szCs w:val="24"/>
          <w:u w:val="single"/>
        </w:rPr>
        <w:t>Introduction</w:t>
      </w:r>
    </w:p>
    <w:p w14:paraId="64658660" w14:textId="77777777" w:rsidR="00BC55D1" w:rsidRPr="00263C51" w:rsidRDefault="00BC55D1" w:rsidP="00BC55D1">
      <w:pPr>
        <w:spacing w:after="0" w:line="240" w:lineRule="auto"/>
        <w:rPr>
          <w:rFonts w:ascii="Arial" w:hAnsi="Arial" w:cs="Arial"/>
          <w:b/>
          <w:sz w:val="24"/>
          <w:szCs w:val="24"/>
          <w:u w:val="single"/>
        </w:rPr>
      </w:pPr>
    </w:p>
    <w:p w14:paraId="25E10D1C" w14:textId="77777777" w:rsidR="00263C51" w:rsidRPr="00263C51" w:rsidRDefault="00263C51" w:rsidP="00BC55D1">
      <w:pPr>
        <w:spacing w:after="0" w:line="240" w:lineRule="auto"/>
        <w:rPr>
          <w:rFonts w:ascii="Arial" w:hAnsi="Arial" w:cs="Arial"/>
          <w:b/>
          <w:sz w:val="24"/>
          <w:szCs w:val="24"/>
        </w:rPr>
      </w:pPr>
    </w:p>
    <w:p w14:paraId="45C0A4CB" w14:textId="77777777" w:rsidR="0026217B" w:rsidRPr="0006276E" w:rsidRDefault="002E6111" w:rsidP="0006276E">
      <w:pPr>
        <w:spacing w:after="0" w:line="480" w:lineRule="auto"/>
        <w:jc w:val="both"/>
        <w:rPr>
          <w:rFonts w:ascii="Arial" w:hAnsi="Arial" w:cs="Arial"/>
          <w:sz w:val="24"/>
          <w:szCs w:val="24"/>
        </w:rPr>
      </w:pPr>
      <w:r w:rsidRPr="0006276E">
        <w:rPr>
          <w:rFonts w:ascii="Arial" w:hAnsi="Arial" w:cs="Arial"/>
          <w:sz w:val="24"/>
          <w:szCs w:val="24"/>
        </w:rPr>
        <w:t>[1]</w:t>
      </w:r>
      <w:r w:rsidRPr="0006276E">
        <w:rPr>
          <w:rFonts w:ascii="Arial" w:hAnsi="Arial" w:cs="Arial"/>
          <w:sz w:val="24"/>
          <w:szCs w:val="24"/>
        </w:rPr>
        <w:tab/>
        <w:t xml:space="preserve">This matter </w:t>
      </w:r>
      <w:r w:rsidR="00263C51">
        <w:rPr>
          <w:rFonts w:ascii="Arial" w:hAnsi="Arial" w:cs="Arial"/>
          <w:sz w:val="24"/>
          <w:szCs w:val="24"/>
        </w:rPr>
        <w:t xml:space="preserve">involves </w:t>
      </w:r>
      <w:r w:rsidRPr="0006276E">
        <w:rPr>
          <w:rFonts w:ascii="Arial" w:hAnsi="Arial" w:cs="Arial"/>
          <w:sz w:val="24"/>
          <w:szCs w:val="24"/>
        </w:rPr>
        <w:t>exception</w:t>
      </w:r>
      <w:r w:rsidR="00263C51">
        <w:rPr>
          <w:rFonts w:ascii="Arial" w:hAnsi="Arial" w:cs="Arial"/>
          <w:sz w:val="24"/>
          <w:szCs w:val="24"/>
        </w:rPr>
        <w:t>s to two special pleas which introduce</w:t>
      </w:r>
      <w:r w:rsidRPr="0006276E">
        <w:rPr>
          <w:rFonts w:ascii="Arial" w:hAnsi="Arial" w:cs="Arial"/>
          <w:sz w:val="24"/>
          <w:szCs w:val="24"/>
        </w:rPr>
        <w:t xml:space="preserve"> a novel </w:t>
      </w:r>
      <w:r w:rsidR="00FF5CFD" w:rsidRPr="000631FF">
        <w:rPr>
          <w:rFonts w:ascii="Arial" w:hAnsi="Arial" w:cs="Arial"/>
          <w:sz w:val="24"/>
          <w:szCs w:val="24"/>
        </w:rPr>
        <w:t>S</w:t>
      </w:r>
      <w:r w:rsidR="006245DF" w:rsidRPr="000631FF">
        <w:rPr>
          <w:rFonts w:ascii="Arial" w:hAnsi="Arial" w:cs="Arial"/>
          <w:sz w:val="24"/>
          <w:szCs w:val="24"/>
        </w:rPr>
        <w:t xml:space="preserve">trategic </w:t>
      </w:r>
      <w:r w:rsidR="00FF5CFD" w:rsidRPr="000631FF">
        <w:rPr>
          <w:rFonts w:ascii="Arial" w:hAnsi="Arial" w:cs="Arial"/>
          <w:sz w:val="24"/>
          <w:szCs w:val="24"/>
        </w:rPr>
        <w:t>L</w:t>
      </w:r>
      <w:r w:rsidR="006245DF" w:rsidRPr="000631FF">
        <w:rPr>
          <w:rFonts w:ascii="Arial" w:hAnsi="Arial" w:cs="Arial"/>
          <w:sz w:val="24"/>
          <w:szCs w:val="24"/>
        </w:rPr>
        <w:t xml:space="preserve">itigation </w:t>
      </w:r>
      <w:r w:rsidR="00FF5CFD" w:rsidRPr="000631FF">
        <w:rPr>
          <w:rFonts w:ascii="Arial" w:hAnsi="Arial" w:cs="Arial"/>
          <w:sz w:val="24"/>
          <w:szCs w:val="24"/>
        </w:rPr>
        <w:t>A</w:t>
      </w:r>
      <w:r w:rsidR="006245DF" w:rsidRPr="000631FF">
        <w:rPr>
          <w:rFonts w:ascii="Arial" w:hAnsi="Arial" w:cs="Arial"/>
          <w:sz w:val="24"/>
          <w:szCs w:val="24"/>
        </w:rPr>
        <w:t xml:space="preserve">gainst </w:t>
      </w:r>
      <w:r w:rsidR="00FF5CFD" w:rsidRPr="000631FF">
        <w:rPr>
          <w:rFonts w:ascii="Arial" w:hAnsi="Arial" w:cs="Arial"/>
          <w:sz w:val="24"/>
          <w:szCs w:val="24"/>
        </w:rPr>
        <w:t>P</w:t>
      </w:r>
      <w:r w:rsidR="006245DF" w:rsidRPr="000631FF">
        <w:rPr>
          <w:rFonts w:ascii="Arial" w:hAnsi="Arial" w:cs="Arial"/>
          <w:sz w:val="24"/>
          <w:szCs w:val="24"/>
        </w:rPr>
        <w:t xml:space="preserve">ublic </w:t>
      </w:r>
      <w:r w:rsidR="00FF5CFD" w:rsidRPr="000631FF">
        <w:rPr>
          <w:rFonts w:ascii="Arial" w:hAnsi="Arial" w:cs="Arial"/>
          <w:sz w:val="24"/>
          <w:szCs w:val="24"/>
        </w:rPr>
        <w:t>P</w:t>
      </w:r>
      <w:r w:rsidR="006245DF" w:rsidRPr="000631FF">
        <w:rPr>
          <w:rFonts w:ascii="Arial" w:hAnsi="Arial" w:cs="Arial"/>
          <w:sz w:val="24"/>
          <w:szCs w:val="24"/>
        </w:rPr>
        <w:t>articipation</w:t>
      </w:r>
      <w:r w:rsidR="00E1686D">
        <w:rPr>
          <w:rFonts w:ascii="Arial" w:hAnsi="Arial" w:cs="Arial"/>
          <w:sz w:val="24"/>
          <w:szCs w:val="24"/>
        </w:rPr>
        <w:t xml:space="preserve"> (SLAPP)</w:t>
      </w:r>
      <w:r w:rsidRPr="0006276E">
        <w:rPr>
          <w:rFonts w:ascii="Arial" w:hAnsi="Arial" w:cs="Arial"/>
          <w:sz w:val="24"/>
          <w:szCs w:val="24"/>
        </w:rPr>
        <w:t xml:space="preserve"> defence. </w:t>
      </w:r>
      <w:proofErr w:type="spellStart"/>
      <w:r w:rsidR="00AF2387">
        <w:rPr>
          <w:rFonts w:ascii="Arial" w:hAnsi="Arial" w:cs="Arial"/>
          <w:sz w:val="24"/>
          <w:szCs w:val="24"/>
        </w:rPr>
        <w:t>Redell</w:t>
      </w:r>
      <w:proofErr w:type="spellEnd"/>
      <w:r w:rsidR="00AF2387">
        <w:rPr>
          <w:rFonts w:ascii="Arial" w:hAnsi="Arial" w:cs="Arial"/>
          <w:sz w:val="24"/>
          <w:szCs w:val="24"/>
        </w:rPr>
        <w:t xml:space="preserve">, </w:t>
      </w:r>
      <w:r w:rsidR="00AF2387" w:rsidRPr="0006276E">
        <w:rPr>
          <w:rFonts w:ascii="Arial" w:hAnsi="Arial" w:cs="Arial"/>
          <w:sz w:val="24"/>
          <w:szCs w:val="24"/>
        </w:rPr>
        <w:t>Davies and Cullinan are environmental attorneys</w:t>
      </w:r>
      <w:r w:rsidR="00AF2387">
        <w:rPr>
          <w:rFonts w:ascii="Arial" w:hAnsi="Arial" w:cs="Arial"/>
          <w:sz w:val="24"/>
          <w:szCs w:val="24"/>
        </w:rPr>
        <w:t xml:space="preserve">.  </w:t>
      </w:r>
      <w:r w:rsidR="00AF2387" w:rsidRPr="0006276E">
        <w:rPr>
          <w:rFonts w:ascii="Arial" w:hAnsi="Arial" w:cs="Arial"/>
          <w:sz w:val="24"/>
          <w:szCs w:val="24"/>
        </w:rPr>
        <w:t>Cloete</w:t>
      </w:r>
      <w:r w:rsidR="00AF2387">
        <w:rPr>
          <w:rFonts w:ascii="Arial" w:hAnsi="Arial" w:cs="Arial"/>
          <w:sz w:val="24"/>
          <w:szCs w:val="24"/>
        </w:rPr>
        <w:t xml:space="preserve">, </w:t>
      </w:r>
      <w:r w:rsidR="00AF2387" w:rsidRPr="0006276E">
        <w:rPr>
          <w:rFonts w:ascii="Arial" w:hAnsi="Arial" w:cs="Arial"/>
          <w:sz w:val="24"/>
          <w:szCs w:val="24"/>
        </w:rPr>
        <w:t xml:space="preserve">Dlamini </w:t>
      </w:r>
      <w:r w:rsidR="00AF2387">
        <w:rPr>
          <w:rFonts w:ascii="Arial" w:hAnsi="Arial" w:cs="Arial"/>
          <w:sz w:val="24"/>
          <w:szCs w:val="24"/>
        </w:rPr>
        <w:t xml:space="preserve">and </w:t>
      </w:r>
      <w:r w:rsidR="00AF2387" w:rsidRPr="0006276E">
        <w:rPr>
          <w:rFonts w:ascii="Arial" w:hAnsi="Arial" w:cs="Arial"/>
          <w:sz w:val="24"/>
          <w:szCs w:val="24"/>
        </w:rPr>
        <w:t>Clarke a</w:t>
      </w:r>
      <w:r w:rsidR="00AF2387">
        <w:rPr>
          <w:rFonts w:ascii="Arial" w:hAnsi="Arial" w:cs="Arial"/>
          <w:sz w:val="24"/>
          <w:szCs w:val="24"/>
        </w:rPr>
        <w:t>re</w:t>
      </w:r>
      <w:r w:rsidR="00AF2387" w:rsidRPr="0006276E">
        <w:rPr>
          <w:rFonts w:ascii="Arial" w:hAnsi="Arial" w:cs="Arial"/>
          <w:sz w:val="24"/>
          <w:szCs w:val="24"/>
        </w:rPr>
        <w:t xml:space="preserve"> community activist</w:t>
      </w:r>
      <w:r w:rsidR="00AF2387">
        <w:rPr>
          <w:rFonts w:ascii="Arial" w:hAnsi="Arial" w:cs="Arial"/>
          <w:sz w:val="24"/>
          <w:szCs w:val="24"/>
        </w:rPr>
        <w:t>s</w:t>
      </w:r>
      <w:r w:rsidR="00AF2387" w:rsidRPr="0006276E">
        <w:rPr>
          <w:rFonts w:ascii="Arial" w:hAnsi="Arial" w:cs="Arial"/>
          <w:sz w:val="24"/>
          <w:szCs w:val="24"/>
        </w:rPr>
        <w:t xml:space="preserve">. </w:t>
      </w:r>
      <w:r w:rsidR="00B30971">
        <w:rPr>
          <w:rFonts w:ascii="Arial" w:hAnsi="Arial" w:cs="Arial"/>
          <w:sz w:val="24"/>
          <w:szCs w:val="24"/>
        </w:rPr>
        <w:t xml:space="preserve">In the first set of special pleas the </w:t>
      </w:r>
      <w:r w:rsidR="00BD4731">
        <w:rPr>
          <w:rFonts w:ascii="Arial" w:hAnsi="Arial" w:cs="Arial"/>
          <w:sz w:val="24"/>
          <w:szCs w:val="24"/>
        </w:rPr>
        <w:t>defendant</w:t>
      </w:r>
      <w:r w:rsidR="002738EE">
        <w:rPr>
          <w:rFonts w:ascii="Arial" w:hAnsi="Arial" w:cs="Arial"/>
          <w:sz w:val="24"/>
          <w:szCs w:val="24"/>
        </w:rPr>
        <w:t>s</w:t>
      </w:r>
      <w:r w:rsidR="00B30971">
        <w:rPr>
          <w:rFonts w:ascii="Arial" w:hAnsi="Arial" w:cs="Arial"/>
          <w:sz w:val="24"/>
          <w:szCs w:val="24"/>
        </w:rPr>
        <w:t xml:space="preserve"> allege that they had been </w:t>
      </w:r>
      <w:proofErr w:type="spellStart"/>
      <w:r w:rsidR="00B30971">
        <w:rPr>
          <w:rFonts w:ascii="Arial" w:hAnsi="Arial" w:cs="Arial"/>
          <w:sz w:val="24"/>
          <w:szCs w:val="24"/>
        </w:rPr>
        <w:lastRenderedPageBreak/>
        <w:t>SLAPPed</w:t>
      </w:r>
      <w:proofErr w:type="spellEnd"/>
      <w:r w:rsidR="00286F15">
        <w:rPr>
          <w:rFonts w:ascii="Arial" w:hAnsi="Arial" w:cs="Arial"/>
          <w:sz w:val="24"/>
          <w:szCs w:val="24"/>
        </w:rPr>
        <w:t xml:space="preserve"> in the context of environmental activism.  </w:t>
      </w:r>
      <w:r w:rsidR="00321D7C">
        <w:rPr>
          <w:rFonts w:ascii="Arial" w:hAnsi="Arial" w:cs="Arial"/>
          <w:sz w:val="24"/>
          <w:szCs w:val="24"/>
        </w:rPr>
        <w:t>T</w:t>
      </w:r>
      <w:r w:rsidRPr="0006276E">
        <w:rPr>
          <w:rFonts w:ascii="Arial" w:hAnsi="Arial" w:cs="Arial"/>
          <w:sz w:val="24"/>
          <w:szCs w:val="24"/>
        </w:rPr>
        <w:t xml:space="preserve">wo related mining companies and their directors, </w:t>
      </w:r>
      <w:r w:rsidR="00321D7C">
        <w:rPr>
          <w:rFonts w:ascii="Arial" w:hAnsi="Arial" w:cs="Arial"/>
          <w:sz w:val="24"/>
          <w:szCs w:val="24"/>
        </w:rPr>
        <w:t xml:space="preserve">are </w:t>
      </w:r>
      <w:r w:rsidRPr="0006276E">
        <w:rPr>
          <w:rFonts w:ascii="Arial" w:hAnsi="Arial" w:cs="Arial"/>
          <w:sz w:val="24"/>
          <w:szCs w:val="24"/>
        </w:rPr>
        <w:t>suing t</w:t>
      </w:r>
      <w:r w:rsidR="006245DF">
        <w:rPr>
          <w:rFonts w:ascii="Arial" w:hAnsi="Arial" w:cs="Arial"/>
          <w:sz w:val="24"/>
          <w:szCs w:val="24"/>
        </w:rPr>
        <w:t>hree environmental attorneys as well as</w:t>
      </w:r>
      <w:r w:rsidRPr="0006276E">
        <w:rPr>
          <w:rFonts w:ascii="Arial" w:hAnsi="Arial" w:cs="Arial"/>
          <w:sz w:val="24"/>
          <w:szCs w:val="24"/>
        </w:rPr>
        <w:t xml:space="preserve"> three community activists for defamation, and dama</w:t>
      </w:r>
      <w:r w:rsidR="00FF1E65">
        <w:rPr>
          <w:rFonts w:ascii="Arial" w:hAnsi="Arial" w:cs="Arial"/>
          <w:sz w:val="24"/>
          <w:szCs w:val="24"/>
        </w:rPr>
        <w:t xml:space="preserve">ges in the in the sum of R14,25 </w:t>
      </w:r>
      <w:r w:rsidRPr="0006276E">
        <w:rPr>
          <w:rFonts w:ascii="Arial" w:hAnsi="Arial" w:cs="Arial"/>
          <w:sz w:val="24"/>
          <w:szCs w:val="24"/>
        </w:rPr>
        <w:t>million, alternatively the publication of apologies. The two mining companies are involved in the ex</w:t>
      </w:r>
      <w:r w:rsidR="00AB1785">
        <w:rPr>
          <w:rFonts w:ascii="Arial" w:hAnsi="Arial" w:cs="Arial"/>
          <w:sz w:val="24"/>
          <w:szCs w:val="24"/>
        </w:rPr>
        <w:t>ploration and development of maj</w:t>
      </w:r>
      <w:r w:rsidRPr="0006276E">
        <w:rPr>
          <w:rFonts w:ascii="Arial" w:hAnsi="Arial" w:cs="Arial"/>
          <w:sz w:val="24"/>
          <w:szCs w:val="24"/>
        </w:rPr>
        <w:t>or mineral sand</w:t>
      </w:r>
      <w:r w:rsidR="00AB1785">
        <w:rPr>
          <w:rFonts w:ascii="Arial" w:hAnsi="Arial" w:cs="Arial"/>
          <w:sz w:val="24"/>
          <w:szCs w:val="24"/>
        </w:rPr>
        <w:t>s</w:t>
      </w:r>
      <w:r w:rsidRPr="0006276E">
        <w:rPr>
          <w:rFonts w:ascii="Arial" w:hAnsi="Arial" w:cs="Arial"/>
          <w:sz w:val="24"/>
          <w:szCs w:val="24"/>
        </w:rPr>
        <w:t xml:space="preserve"> projects in South Africa, </w:t>
      </w:r>
      <w:r w:rsidR="006245DF">
        <w:rPr>
          <w:rFonts w:ascii="Arial" w:hAnsi="Arial" w:cs="Arial"/>
          <w:sz w:val="24"/>
          <w:szCs w:val="24"/>
        </w:rPr>
        <w:t xml:space="preserve">and are referred to as </w:t>
      </w:r>
      <w:r w:rsidRPr="0006276E">
        <w:rPr>
          <w:rFonts w:ascii="Arial" w:hAnsi="Arial" w:cs="Arial"/>
          <w:sz w:val="24"/>
          <w:szCs w:val="24"/>
        </w:rPr>
        <w:t>the Tormin Mineral Sand</w:t>
      </w:r>
      <w:r w:rsidR="00AB1785">
        <w:rPr>
          <w:rFonts w:ascii="Arial" w:hAnsi="Arial" w:cs="Arial"/>
          <w:sz w:val="24"/>
          <w:szCs w:val="24"/>
        </w:rPr>
        <w:t>s</w:t>
      </w:r>
      <w:r w:rsidRPr="0006276E">
        <w:rPr>
          <w:rFonts w:ascii="Arial" w:hAnsi="Arial" w:cs="Arial"/>
          <w:sz w:val="24"/>
          <w:szCs w:val="24"/>
        </w:rPr>
        <w:t xml:space="preserve"> Project and the Xolobeni Mineral Sands Project. Second </w:t>
      </w:r>
      <w:r w:rsidR="00F57409">
        <w:rPr>
          <w:rFonts w:ascii="Arial" w:hAnsi="Arial" w:cs="Arial"/>
          <w:sz w:val="24"/>
          <w:szCs w:val="24"/>
        </w:rPr>
        <w:t>p</w:t>
      </w:r>
      <w:r w:rsidR="002738EE">
        <w:rPr>
          <w:rFonts w:ascii="Arial" w:hAnsi="Arial" w:cs="Arial"/>
          <w:sz w:val="24"/>
          <w:szCs w:val="24"/>
        </w:rPr>
        <w:t>laintiff</w:t>
      </w:r>
      <w:r w:rsidRPr="0006276E">
        <w:rPr>
          <w:rFonts w:ascii="Arial" w:hAnsi="Arial" w:cs="Arial"/>
          <w:sz w:val="24"/>
          <w:szCs w:val="24"/>
        </w:rPr>
        <w:t xml:space="preserve">s are in the employ of the mining companies </w:t>
      </w:r>
      <w:r w:rsidRPr="0006276E">
        <w:rPr>
          <w:rFonts w:ascii="Arial" w:hAnsi="Arial" w:cs="Arial"/>
          <w:i/>
          <w:sz w:val="24"/>
          <w:szCs w:val="24"/>
        </w:rPr>
        <w:t>inter alia</w:t>
      </w:r>
      <w:r w:rsidRPr="0006276E">
        <w:rPr>
          <w:rFonts w:ascii="Arial" w:hAnsi="Arial" w:cs="Arial"/>
          <w:sz w:val="24"/>
          <w:szCs w:val="24"/>
        </w:rPr>
        <w:t xml:space="preserve"> as director and executive chairman. The main issue to be determined in this matter are two substantially identical special pleas raised by the </w:t>
      </w:r>
      <w:r w:rsidR="00F57409">
        <w:rPr>
          <w:rFonts w:ascii="Arial" w:hAnsi="Arial" w:cs="Arial"/>
          <w:sz w:val="24"/>
          <w:szCs w:val="24"/>
        </w:rPr>
        <w:t>d</w:t>
      </w:r>
      <w:r w:rsidR="00BD4731">
        <w:rPr>
          <w:rFonts w:ascii="Arial" w:hAnsi="Arial" w:cs="Arial"/>
          <w:sz w:val="24"/>
          <w:szCs w:val="24"/>
        </w:rPr>
        <w:t>efendant</w:t>
      </w:r>
      <w:r w:rsidR="00D37066">
        <w:rPr>
          <w:rFonts w:ascii="Arial" w:hAnsi="Arial" w:cs="Arial"/>
          <w:sz w:val="24"/>
          <w:szCs w:val="24"/>
        </w:rPr>
        <w:t>s</w:t>
      </w:r>
      <w:r w:rsidRPr="0006276E">
        <w:rPr>
          <w:rFonts w:ascii="Arial" w:hAnsi="Arial" w:cs="Arial"/>
          <w:sz w:val="24"/>
          <w:szCs w:val="24"/>
        </w:rPr>
        <w:t xml:space="preserve"> in eac</w:t>
      </w:r>
      <w:r w:rsidR="006245DF">
        <w:rPr>
          <w:rFonts w:ascii="Arial" w:hAnsi="Arial" w:cs="Arial"/>
          <w:sz w:val="24"/>
          <w:szCs w:val="24"/>
        </w:rPr>
        <w:t>h of the three separate actions. T</w:t>
      </w:r>
      <w:r w:rsidRPr="0006276E">
        <w:rPr>
          <w:rFonts w:ascii="Arial" w:hAnsi="Arial" w:cs="Arial"/>
          <w:sz w:val="24"/>
          <w:szCs w:val="24"/>
        </w:rPr>
        <w:t xml:space="preserve">he </w:t>
      </w:r>
      <w:r w:rsidR="0026217B" w:rsidRPr="0006276E">
        <w:rPr>
          <w:rFonts w:ascii="Arial" w:hAnsi="Arial" w:cs="Arial"/>
          <w:sz w:val="24"/>
          <w:szCs w:val="24"/>
        </w:rPr>
        <w:t xml:space="preserve">respective mining companies </w:t>
      </w:r>
      <w:r w:rsidR="006245DF">
        <w:rPr>
          <w:rFonts w:ascii="Arial" w:hAnsi="Arial" w:cs="Arial"/>
          <w:sz w:val="24"/>
          <w:szCs w:val="24"/>
        </w:rPr>
        <w:t xml:space="preserve">in each of these three actions </w:t>
      </w:r>
      <w:r w:rsidR="0026217B" w:rsidRPr="0006276E">
        <w:rPr>
          <w:rFonts w:ascii="Arial" w:hAnsi="Arial" w:cs="Arial"/>
          <w:sz w:val="24"/>
          <w:szCs w:val="24"/>
        </w:rPr>
        <w:t>are the excipients to the two special pleas.</w:t>
      </w:r>
    </w:p>
    <w:p w14:paraId="0A7ECD60" w14:textId="77777777" w:rsidR="0026217B" w:rsidRPr="0006276E" w:rsidRDefault="0026217B" w:rsidP="00FF1E65">
      <w:pPr>
        <w:spacing w:after="0" w:line="240" w:lineRule="auto"/>
        <w:jc w:val="both"/>
        <w:rPr>
          <w:rFonts w:ascii="Arial" w:hAnsi="Arial" w:cs="Arial"/>
          <w:sz w:val="24"/>
          <w:szCs w:val="24"/>
        </w:rPr>
      </w:pPr>
    </w:p>
    <w:p w14:paraId="3D99963F" w14:textId="77777777" w:rsidR="0026217B" w:rsidRPr="00AF2387" w:rsidRDefault="0026217B" w:rsidP="00AF2387">
      <w:pPr>
        <w:spacing w:after="0" w:line="480" w:lineRule="auto"/>
        <w:jc w:val="both"/>
        <w:rPr>
          <w:rFonts w:ascii="Arial" w:hAnsi="Arial" w:cs="Arial"/>
          <w:b/>
          <w:sz w:val="24"/>
          <w:szCs w:val="24"/>
          <w:u w:val="single"/>
        </w:rPr>
      </w:pPr>
      <w:r w:rsidRPr="00263C51">
        <w:rPr>
          <w:rFonts w:ascii="Arial" w:hAnsi="Arial" w:cs="Arial"/>
          <w:b/>
          <w:sz w:val="24"/>
          <w:szCs w:val="24"/>
          <w:u w:val="single"/>
        </w:rPr>
        <w:t xml:space="preserve">The </w:t>
      </w:r>
      <w:r w:rsidR="00263C51">
        <w:rPr>
          <w:rFonts w:ascii="Arial" w:hAnsi="Arial" w:cs="Arial"/>
          <w:b/>
          <w:sz w:val="24"/>
          <w:szCs w:val="24"/>
          <w:u w:val="single"/>
        </w:rPr>
        <w:t>T</w:t>
      </w:r>
      <w:r w:rsidRPr="00263C51">
        <w:rPr>
          <w:rFonts w:ascii="Arial" w:hAnsi="Arial" w:cs="Arial"/>
          <w:b/>
          <w:sz w:val="24"/>
          <w:szCs w:val="24"/>
          <w:u w:val="single"/>
        </w:rPr>
        <w:t>hree Actions</w:t>
      </w:r>
    </w:p>
    <w:p w14:paraId="4825B578" w14:textId="77777777" w:rsidR="008D5F19" w:rsidRPr="0006276E" w:rsidRDefault="008D5F19" w:rsidP="008D5F19">
      <w:pPr>
        <w:spacing w:after="0" w:line="240" w:lineRule="auto"/>
        <w:jc w:val="both"/>
        <w:rPr>
          <w:rFonts w:ascii="Arial" w:hAnsi="Arial" w:cs="Arial"/>
          <w:sz w:val="24"/>
          <w:szCs w:val="24"/>
        </w:rPr>
      </w:pPr>
    </w:p>
    <w:p w14:paraId="69AF9A7A" w14:textId="77777777" w:rsidR="00A03ABC" w:rsidRDefault="001544AE" w:rsidP="001F654E">
      <w:pPr>
        <w:spacing w:after="0" w:line="480" w:lineRule="auto"/>
        <w:jc w:val="both"/>
        <w:rPr>
          <w:rFonts w:ascii="Arial" w:hAnsi="Arial" w:cs="Arial"/>
          <w:sz w:val="24"/>
          <w:szCs w:val="24"/>
        </w:rPr>
      </w:pPr>
      <w:r w:rsidRPr="0006276E">
        <w:rPr>
          <w:rFonts w:ascii="Arial" w:hAnsi="Arial" w:cs="Arial"/>
          <w:sz w:val="24"/>
          <w:szCs w:val="24"/>
        </w:rPr>
        <w:t>[</w:t>
      </w:r>
      <w:r w:rsidR="007B2594">
        <w:rPr>
          <w:rFonts w:ascii="Arial" w:hAnsi="Arial" w:cs="Arial"/>
          <w:sz w:val="24"/>
          <w:szCs w:val="24"/>
        </w:rPr>
        <w:t>2</w:t>
      </w:r>
      <w:r w:rsidRPr="0006276E">
        <w:rPr>
          <w:rFonts w:ascii="Arial" w:hAnsi="Arial" w:cs="Arial"/>
          <w:sz w:val="24"/>
          <w:szCs w:val="24"/>
        </w:rPr>
        <w:t>]</w:t>
      </w:r>
      <w:r w:rsidRPr="0006276E">
        <w:rPr>
          <w:rFonts w:ascii="Arial" w:hAnsi="Arial" w:cs="Arial"/>
          <w:sz w:val="24"/>
          <w:szCs w:val="24"/>
        </w:rPr>
        <w:tab/>
      </w:r>
      <w:r w:rsidR="00BC01F8">
        <w:rPr>
          <w:rFonts w:ascii="Arial" w:hAnsi="Arial" w:cs="Arial"/>
          <w:sz w:val="24"/>
          <w:szCs w:val="24"/>
        </w:rPr>
        <w:t xml:space="preserve">In the </w:t>
      </w:r>
      <w:r w:rsidR="00BC01F8" w:rsidRPr="005E5806">
        <w:rPr>
          <w:rFonts w:ascii="Arial" w:hAnsi="Arial" w:cs="Arial"/>
          <w:sz w:val="24"/>
          <w:szCs w:val="24"/>
        </w:rPr>
        <w:t>Clarke matter</w:t>
      </w:r>
      <w:r w:rsidR="00BC01F8">
        <w:rPr>
          <w:rFonts w:ascii="Arial" w:hAnsi="Arial" w:cs="Arial"/>
          <w:sz w:val="24"/>
          <w:szCs w:val="24"/>
        </w:rPr>
        <w:t xml:space="preserve"> i</w:t>
      </w:r>
      <w:r w:rsidR="001D5274">
        <w:rPr>
          <w:rFonts w:ascii="Arial" w:hAnsi="Arial" w:cs="Arial"/>
          <w:sz w:val="24"/>
          <w:szCs w:val="24"/>
        </w:rPr>
        <w:t xml:space="preserve">t is alleged that </w:t>
      </w:r>
      <w:r w:rsidR="00BC01F8" w:rsidRPr="0006276E">
        <w:rPr>
          <w:rFonts w:ascii="Arial" w:hAnsi="Arial" w:cs="Arial"/>
          <w:sz w:val="24"/>
          <w:szCs w:val="24"/>
        </w:rPr>
        <w:t>Clarke published two defamatory e</w:t>
      </w:r>
      <w:r w:rsidR="00E34065">
        <w:rPr>
          <w:rFonts w:ascii="Arial" w:hAnsi="Arial" w:cs="Arial"/>
          <w:sz w:val="24"/>
          <w:szCs w:val="24"/>
        </w:rPr>
        <w:t>-</w:t>
      </w:r>
      <w:r w:rsidR="00BC01F8" w:rsidRPr="0006276E">
        <w:rPr>
          <w:rFonts w:ascii="Arial" w:hAnsi="Arial" w:cs="Arial"/>
          <w:sz w:val="24"/>
          <w:szCs w:val="24"/>
        </w:rPr>
        <w:t>boo</w:t>
      </w:r>
      <w:r w:rsidR="00A03ABC">
        <w:rPr>
          <w:rFonts w:ascii="Arial" w:hAnsi="Arial" w:cs="Arial"/>
          <w:sz w:val="24"/>
          <w:szCs w:val="24"/>
        </w:rPr>
        <w:t>ks, one during 2014 entitled “</w:t>
      </w:r>
      <w:r w:rsidR="00A03ABC" w:rsidRPr="00A03ABC">
        <w:rPr>
          <w:rFonts w:ascii="Arial" w:hAnsi="Arial" w:cs="Arial"/>
          <w:i/>
          <w:sz w:val="24"/>
          <w:szCs w:val="24"/>
        </w:rPr>
        <w:t>The Promise of Justice</w:t>
      </w:r>
      <w:r w:rsidR="00A03ABC">
        <w:rPr>
          <w:rFonts w:ascii="Arial" w:hAnsi="Arial" w:cs="Arial"/>
          <w:sz w:val="24"/>
          <w:szCs w:val="24"/>
        </w:rPr>
        <w:t>” and another in 2015 entitled “</w:t>
      </w:r>
      <w:r w:rsidR="00A03ABC" w:rsidRPr="00A03ABC">
        <w:rPr>
          <w:rFonts w:ascii="Arial" w:hAnsi="Arial" w:cs="Arial"/>
          <w:i/>
          <w:sz w:val="24"/>
          <w:szCs w:val="24"/>
        </w:rPr>
        <w:t>Survivor: Wild Coast</w:t>
      </w:r>
      <w:r w:rsidR="00E1686D">
        <w:rPr>
          <w:rFonts w:ascii="Arial" w:hAnsi="Arial" w:cs="Arial"/>
          <w:i/>
          <w:sz w:val="24"/>
          <w:szCs w:val="24"/>
        </w:rPr>
        <w:t xml:space="preserve"> - </w:t>
      </w:r>
      <w:r w:rsidR="00A03ABC" w:rsidRPr="00A03ABC">
        <w:rPr>
          <w:rFonts w:ascii="Arial" w:hAnsi="Arial" w:cs="Arial"/>
          <w:i/>
          <w:sz w:val="24"/>
          <w:szCs w:val="24"/>
        </w:rPr>
        <w:t>Before and Beyond the Shore</w:t>
      </w:r>
      <w:r w:rsidR="00E1686D">
        <w:rPr>
          <w:rFonts w:ascii="Arial" w:hAnsi="Arial" w:cs="Arial"/>
          <w:i/>
          <w:sz w:val="24"/>
          <w:szCs w:val="24"/>
        </w:rPr>
        <w:t xml:space="preserve"> Break</w:t>
      </w:r>
      <w:r w:rsidR="00A03ABC">
        <w:rPr>
          <w:rFonts w:ascii="Arial" w:hAnsi="Arial" w:cs="Arial"/>
          <w:sz w:val="24"/>
          <w:szCs w:val="24"/>
        </w:rPr>
        <w:t>” which is available worldwide. The record reflects that he was actively engaged in criticising the plaintiffs’ mining</w:t>
      </w:r>
      <w:r w:rsidR="006245DF">
        <w:rPr>
          <w:rFonts w:ascii="Arial" w:hAnsi="Arial" w:cs="Arial"/>
          <w:sz w:val="24"/>
          <w:szCs w:val="24"/>
        </w:rPr>
        <w:t xml:space="preserve"> and excavating</w:t>
      </w:r>
      <w:r w:rsidR="00A03ABC">
        <w:rPr>
          <w:rFonts w:ascii="Arial" w:hAnsi="Arial" w:cs="Arial"/>
          <w:sz w:val="24"/>
          <w:szCs w:val="24"/>
        </w:rPr>
        <w:t xml:space="preserve"> activities, and its environmental</w:t>
      </w:r>
      <w:r w:rsidR="006245DF">
        <w:rPr>
          <w:rFonts w:ascii="Arial" w:hAnsi="Arial" w:cs="Arial"/>
          <w:sz w:val="24"/>
          <w:szCs w:val="24"/>
        </w:rPr>
        <w:t>, ecological</w:t>
      </w:r>
      <w:r w:rsidR="00A03ABC">
        <w:rPr>
          <w:rFonts w:ascii="Arial" w:hAnsi="Arial" w:cs="Arial"/>
          <w:sz w:val="24"/>
          <w:szCs w:val="24"/>
        </w:rPr>
        <w:t xml:space="preserve"> and economic impact on the development potential of the Wild Coast. In and during 2016 he participated in r</w:t>
      </w:r>
      <w:r w:rsidR="006245DF">
        <w:rPr>
          <w:rFonts w:ascii="Arial" w:hAnsi="Arial" w:cs="Arial"/>
          <w:sz w:val="24"/>
          <w:szCs w:val="24"/>
        </w:rPr>
        <w:t>adio interviews, posted video clips</w:t>
      </w:r>
      <w:r w:rsidR="00A03ABC">
        <w:rPr>
          <w:rFonts w:ascii="Arial" w:hAnsi="Arial" w:cs="Arial"/>
          <w:sz w:val="24"/>
          <w:szCs w:val="24"/>
        </w:rPr>
        <w:t xml:space="preserve"> on YouTube, written numerous emails, and had a numbe</w:t>
      </w:r>
      <w:r w:rsidR="006245DF">
        <w:rPr>
          <w:rFonts w:ascii="Arial" w:hAnsi="Arial" w:cs="Arial"/>
          <w:sz w:val="24"/>
          <w:szCs w:val="24"/>
        </w:rPr>
        <w:t>r of interviews published on various social media platforms online</w:t>
      </w:r>
      <w:r w:rsidR="00A03ABC">
        <w:rPr>
          <w:rFonts w:ascii="Arial" w:hAnsi="Arial" w:cs="Arial"/>
          <w:sz w:val="24"/>
          <w:szCs w:val="24"/>
        </w:rPr>
        <w:t>. He also participated in a panel discussion on a television programme 50/50</w:t>
      </w:r>
      <w:r w:rsidR="001F654E">
        <w:rPr>
          <w:rFonts w:ascii="Arial" w:hAnsi="Arial" w:cs="Arial"/>
          <w:sz w:val="24"/>
          <w:szCs w:val="24"/>
        </w:rPr>
        <w:t xml:space="preserve"> relating to </w:t>
      </w:r>
      <w:r w:rsidR="006245DF">
        <w:rPr>
          <w:rFonts w:ascii="Arial" w:hAnsi="Arial" w:cs="Arial"/>
          <w:sz w:val="24"/>
          <w:szCs w:val="24"/>
        </w:rPr>
        <w:t xml:space="preserve">mining and </w:t>
      </w:r>
      <w:r w:rsidR="001F654E">
        <w:rPr>
          <w:rFonts w:ascii="Arial" w:hAnsi="Arial" w:cs="Arial"/>
          <w:sz w:val="24"/>
          <w:szCs w:val="24"/>
        </w:rPr>
        <w:t>mineral regulation issues</w:t>
      </w:r>
      <w:r w:rsidR="00A03ABC">
        <w:rPr>
          <w:rFonts w:ascii="Arial" w:hAnsi="Arial" w:cs="Arial"/>
          <w:sz w:val="24"/>
          <w:szCs w:val="24"/>
        </w:rPr>
        <w:t xml:space="preserve">, </w:t>
      </w:r>
      <w:r w:rsidR="00B5525D">
        <w:rPr>
          <w:rFonts w:ascii="Arial" w:hAnsi="Arial" w:cs="Arial"/>
          <w:sz w:val="24"/>
          <w:szCs w:val="24"/>
        </w:rPr>
        <w:t xml:space="preserve">engaged the Minister of Mineral Resources, </w:t>
      </w:r>
      <w:r w:rsidR="006245DF">
        <w:rPr>
          <w:rFonts w:ascii="Arial" w:hAnsi="Arial" w:cs="Arial"/>
          <w:sz w:val="24"/>
          <w:szCs w:val="24"/>
        </w:rPr>
        <w:t>posted an article i</w:t>
      </w:r>
      <w:r w:rsidR="00A03ABC">
        <w:rPr>
          <w:rFonts w:ascii="Arial" w:hAnsi="Arial" w:cs="Arial"/>
          <w:sz w:val="24"/>
          <w:szCs w:val="24"/>
        </w:rPr>
        <w:t xml:space="preserve">n an online journalism platform called </w:t>
      </w:r>
      <w:r w:rsidR="007E0099">
        <w:rPr>
          <w:rFonts w:ascii="Arial" w:hAnsi="Arial" w:cs="Arial"/>
          <w:sz w:val="24"/>
          <w:szCs w:val="24"/>
        </w:rPr>
        <w:t>“</w:t>
      </w:r>
      <w:r w:rsidR="00A03ABC" w:rsidRPr="007E0099">
        <w:rPr>
          <w:rFonts w:ascii="Arial" w:hAnsi="Arial" w:cs="Arial"/>
          <w:i/>
          <w:sz w:val="24"/>
          <w:szCs w:val="24"/>
        </w:rPr>
        <w:t>Medium</w:t>
      </w:r>
      <w:r w:rsidR="007E0099">
        <w:rPr>
          <w:rFonts w:ascii="Arial" w:hAnsi="Arial" w:cs="Arial"/>
          <w:i/>
          <w:sz w:val="24"/>
          <w:szCs w:val="24"/>
        </w:rPr>
        <w:t>”</w:t>
      </w:r>
      <w:r w:rsidR="00A03ABC">
        <w:rPr>
          <w:rFonts w:ascii="Arial" w:hAnsi="Arial" w:cs="Arial"/>
          <w:sz w:val="24"/>
          <w:szCs w:val="24"/>
        </w:rPr>
        <w:t>, entitled “</w:t>
      </w:r>
      <w:r w:rsidR="00A03ABC" w:rsidRPr="00A03ABC">
        <w:rPr>
          <w:rFonts w:ascii="Arial" w:hAnsi="Arial" w:cs="Arial"/>
          <w:i/>
          <w:sz w:val="24"/>
          <w:szCs w:val="24"/>
        </w:rPr>
        <w:t>Behi</w:t>
      </w:r>
      <w:r w:rsidR="007E0099">
        <w:rPr>
          <w:rFonts w:ascii="Arial" w:hAnsi="Arial" w:cs="Arial"/>
          <w:i/>
          <w:sz w:val="24"/>
          <w:szCs w:val="24"/>
        </w:rPr>
        <w:t xml:space="preserve">nd the </w:t>
      </w:r>
      <w:proofErr w:type="spellStart"/>
      <w:r w:rsidR="007E0099">
        <w:rPr>
          <w:rFonts w:ascii="Arial" w:hAnsi="Arial" w:cs="Arial"/>
          <w:i/>
          <w:sz w:val="24"/>
          <w:szCs w:val="24"/>
        </w:rPr>
        <w:t>irony</w:t>
      </w:r>
      <w:proofErr w:type="spellEnd"/>
      <w:r w:rsidR="007E0099">
        <w:rPr>
          <w:rFonts w:ascii="Arial" w:hAnsi="Arial" w:cs="Arial"/>
          <w:i/>
          <w:sz w:val="24"/>
          <w:szCs w:val="24"/>
        </w:rPr>
        <w:t xml:space="preserve"> curtain: Blood Diamond, Xolobeni and the real s</w:t>
      </w:r>
      <w:r w:rsidR="00A03ABC" w:rsidRPr="00A03ABC">
        <w:rPr>
          <w:rFonts w:ascii="Arial" w:hAnsi="Arial" w:cs="Arial"/>
          <w:i/>
          <w:sz w:val="24"/>
          <w:szCs w:val="24"/>
        </w:rPr>
        <w:t>tory of MRC</w:t>
      </w:r>
      <w:r w:rsidR="00A03ABC">
        <w:rPr>
          <w:rFonts w:ascii="Arial" w:hAnsi="Arial" w:cs="Arial"/>
          <w:sz w:val="24"/>
          <w:szCs w:val="24"/>
        </w:rPr>
        <w:t>”</w:t>
      </w:r>
      <w:r w:rsidR="00B5525D">
        <w:rPr>
          <w:rFonts w:ascii="Arial" w:hAnsi="Arial" w:cs="Arial"/>
          <w:sz w:val="24"/>
          <w:szCs w:val="24"/>
        </w:rPr>
        <w:t>,</w:t>
      </w:r>
      <w:r w:rsidR="001F654E">
        <w:rPr>
          <w:rFonts w:ascii="Arial" w:hAnsi="Arial" w:cs="Arial"/>
          <w:sz w:val="24"/>
          <w:szCs w:val="24"/>
        </w:rPr>
        <w:t xml:space="preserve"> and </w:t>
      </w:r>
      <w:r w:rsidR="001F654E">
        <w:rPr>
          <w:rFonts w:ascii="Arial" w:hAnsi="Arial" w:cs="Arial"/>
          <w:sz w:val="24"/>
          <w:szCs w:val="24"/>
        </w:rPr>
        <w:lastRenderedPageBreak/>
        <w:t>created general awar</w:t>
      </w:r>
      <w:r w:rsidR="00496F57">
        <w:rPr>
          <w:rFonts w:ascii="Arial" w:hAnsi="Arial" w:cs="Arial"/>
          <w:sz w:val="24"/>
          <w:szCs w:val="24"/>
        </w:rPr>
        <w:t>eness around</w:t>
      </w:r>
      <w:r w:rsidR="00AF2387">
        <w:rPr>
          <w:rFonts w:ascii="Arial" w:hAnsi="Arial" w:cs="Arial"/>
          <w:sz w:val="24"/>
          <w:szCs w:val="24"/>
        </w:rPr>
        <w:t xml:space="preserve"> his environmental activism</w:t>
      </w:r>
      <w:r w:rsidR="001F654E">
        <w:rPr>
          <w:rFonts w:ascii="Arial" w:hAnsi="Arial" w:cs="Arial"/>
          <w:sz w:val="24"/>
          <w:szCs w:val="24"/>
        </w:rPr>
        <w:t>. Summons was issued against him on 18 July 2016. H</w:t>
      </w:r>
      <w:r w:rsidR="00496F57">
        <w:rPr>
          <w:rFonts w:ascii="Arial" w:hAnsi="Arial" w:cs="Arial"/>
          <w:sz w:val="24"/>
          <w:szCs w:val="24"/>
        </w:rPr>
        <w:t>owever, h</w:t>
      </w:r>
      <w:r w:rsidR="001F654E">
        <w:rPr>
          <w:rFonts w:ascii="Arial" w:hAnsi="Arial" w:cs="Arial"/>
          <w:sz w:val="24"/>
          <w:szCs w:val="24"/>
        </w:rPr>
        <w:t xml:space="preserve">e continued with his advocacy work which resulted in further claims and amendments to the summons. </w:t>
      </w:r>
      <w:r w:rsidR="001F654E" w:rsidRPr="0006276E">
        <w:rPr>
          <w:rFonts w:ascii="Arial" w:hAnsi="Arial" w:cs="Arial"/>
          <w:sz w:val="24"/>
          <w:szCs w:val="24"/>
        </w:rPr>
        <w:t xml:space="preserve">The </w:t>
      </w:r>
      <w:r w:rsidR="001F654E">
        <w:rPr>
          <w:rFonts w:ascii="Arial" w:hAnsi="Arial" w:cs="Arial"/>
          <w:sz w:val="24"/>
          <w:szCs w:val="24"/>
        </w:rPr>
        <w:t xml:space="preserve">plaintiff provided elaborate details of </w:t>
      </w:r>
      <w:r w:rsidR="001F654E" w:rsidRPr="0006276E">
        <w:rPr>
          <w:rFonts w:ascii="Arial" w:hAnsi="Arial" w:cs="Arial"/>
          <w:sz w:val="24"/>
          <w:szCs w:val="24"/>
        </w:rPr>
        <w:t>Clarke</w:t>
      </w:r>
      <w:r w:rsidR="001F654E">
        <w:rPr>
          <w:rFonts w:ascii="Arial" w:hAnsi="Arial" w:cs="Arial"/>
          <w:sz w:val="24"/>
          <w:szCs w:val="24"/>
        </w:rPr>
        <w:t>’</w:t>
      </w:r>
      <w:r w:rsidR="001F654E" w:rsidRPr="0006276E">
        <w:rPr>
          <w:rFonts w:ascii="Arial" w:hAnsi="Arial" w:cs="Arial"/>
          <w:sz w:val="24"/>
          <w:szCs w:val="24"/>
        </w:rPr>
        <w:t xml:space="preserve">s </w:t>
      </w:r>
      <w:r w:rsidR="001F654E">
        <w:rPr>
          <w:rFonts w:ascii="Arial" w:hAnsi="Arial" w:cs="Arial"/>
          <w:sz w:val="24"/>
          <w:szCs w:val="24"/>
        </w:rPr>
        <w:t xml:space="preserve">alleged defamatory </w:t>
      </w:r>
      <w:r w:rsidR="001F654E" w:rsidRPr="0006276E">
        <w:rPr>
          <w:rFonts w:ascii="Arial" w:hAnsi="Arial" w:cs="Arial"/>
          <w:sz w:val="24"/>
          <w:szCs w:val="24"/>
        </w:rPr>
        <w:t>conduct</w:t>
      </w:r>
      <w:r w:rsidR="001F654E">
        <w:rPr>
          <w:rFonts w:ascii="Arial" w:hAnsi="Arial" w:cs="Arial"/>
          <w:sz w:val="24"/>
          <w:szCs w:val="24"/>
        </w:rPr>
        <w:t>, which resulted in</w:t>
      </w:r>
      <w:r w:rsidR="001F654E" w:rsidRPr="0006276E">
        <w:rPr>
          <w:rFonts w:ascii="Arial" w:hAnsi="Arial" w:cs="Arial"/>
          <w:sz w:val="24"/>
          <w:szCs w:val="24"/>
        </w:rPr>
        <w:t xml:space="preserve"> 27 separate claims, </w:t>
      </w:r>
      <w:r w:rsidR="001F654E">
        <w:rPr>
          <w:rFonts w:ascii="Arial" w:hAnsi="Arial" w:cs="Arial"/>
          <w:sz w:val="24"/>
          <w:szCs w:val="24"/>
        </w:rPr>
        <w:t>seeking</w:t>
      </w:r>
      <w:r w:rsidR="001F654E" w:rsidRPr="0006276E">
        <w:rPr>
          <w:rFonts w:ascii="Arial" w:hAnsi="Arial" w:cs="Arial"/>
          <w:sz w:val="24"/>
          <w:szCs w:val="24"/>
        </w:rPr>
        <w:t xml:space="preserve"> damages in the sum of R10 million</w:t>
      </w:r>
      <w:r w:rsidR="001F654E">
        <w:rPr>
          <w:rFonts w:ascii="Arial" w:hAnsi="Arial" w:cs="Arial"/>
          <w:sz w:val="24"/>
          <w:szCs w:val="24"/>
        </w:rPr>
        <w:t>.</w:t>
      </w:r>
    </w:p>
    <w:p w14:paraId="10C62B04" w14:textId="77777777" w:rsidR="00A80E41" w:rsidRDefault="00A80E41" w:rsidP="0006276E">
      <w:pPr>
        <w:spacing w:after="0" w:line="480" w:lineRule="auto"/>
        <w:jc w:val="both"/>
        <w:rPr>
          <w:rFonts w:ascii="Arial" w:hAnsi="Arial" w:cs="Arial"/>
          <w:sz w:val="24"/>
          <w:szCs w:val="24"/>
        </w:rPr>
      </w:pPr>
    </w:p>
    <w:p w14:paraId="1D6CF320" w14:textId="77777777" w:rsidR="001F654E" w:rsidRDefault="007B2594" w:rsidP="001F654E">
      <w:pPr>
        <w:spacing w:after="0" w:line="480" w:lineRule="auto"/>
        <w:jc w:val="both"/>
        <w:rPr>
          <w:rFonts w:ascii="Arial" w:hAnsi="Arial" w:cs="Arial"/>
          <w:sz w:val="24"/>
          <w:szCs w:val="24"/>
        </w:rPr>
      </w:pPr>
      <w:r>
        <w:rPr>
          <w:rFonts w:ascii="Arial" w:hAnsi="Arial" w:cs="Arial"/>
          <w:sz w:val="24"/>
          <w:szCs w:val="24"/>
        </w:rPr>
        <w:t>[3</w:t>
      </w:r>
      <w:r w:rsidR="00A80E41" w:rsidRPr="0006276E">
        <w:rPr>
          <w:rFonts w:ascii="Arial" w:hAnsi="Arial" w:cs="Arial"/>
          <w:sz w:val="24"/>
          <w:szCs w:val="24"/>
        </w:rPr>
        <w:t>]</w:t>
      </w:r>
      <w:r w:rsidR="00A80E41" w:rsidRPr="0006276E">
        <w:rPr>
          <w:rFonts w:ascii="Arial" w:hAnsi="Arial" w:cs="Arial"/>
          <w:sz w:val="24"/>
          <w:szCs w:val="24"/>
        </w:rPr>
        <w:tab/>
      </w:r>
      <w:r w:rsidR="001F654E">
        <w:rPr>
          <w:rFonts w:ascii="Arial" w:hAnsi="Arial" w:cs="Arial"/>
          <w:sz w:val="24"/>
          <w:szCs w:val="24"/>
        </w:rPr>
        <w:t xml:space="preserve">Prior to issuing Clarke’s summons, Dlamini and Cullinan participated in a radio interview on 7 April 2016, which was posted on the station’s website. Second plaintiff was also a participant in </w:t>
      </w:r>
      <w:r w:rsidR="006245DF">
        <w:rPr>
          <w:rFonts w:ascii="Arial" w:hAnsi="Arial" w:cs="Arial"/>
          <w:sz w:val="24"/>
          <w:szCs w:val="24"/>
        </w:rPr>
        <w:t xml:space="preserve">the </w:t>
      </w:r>
      <w:r w:rsidR="001F654E">
        <w:rPr>
          <w:rFonts w:ascii="Arial" w:hAnsi="Arial" w:cs="Arial"/>
          <w:sz w:val="24"/>
          <w:szCs w:val="24"/>
        </w:rPr>
        <w:t>said interview. During the interview both Dlamini and Cullinan expressed criticism against the p</w:t>
      </w:r>
      <w:r w:rsidR="006245DF">
        <w:rPr>
          <w:rFonts w:ascii="Arial" w:hAnsi="Arial" w:cs="Arial"/>
          <w:sz w:val="24"/>
          <w:szCs w:val="24"/>
        </w:rPr>
        <w:t>laintiffs’ mining activities,</w:t>
      </w:r>
      <w:r w:rsidR="001F654E">
        <w:rPr>
          <w:rFonts w:ascii="Arial" w:hAnsi="Arial" w:cs="Arial"/>
          <w:sz w:val="24"/>
          <w:szCs w:val="24"/>
        </w:rPr>
        <w:t xml:space="preserve"> related certain facts</w:t>
      </w:r>
      <w:r w:rsidR="005E5806">
        <w:rPr>
          <w:rFonts w:ascii="Arial" w:hAnsi="Arial" w:cs="Arial"/>
          <w:sz w:val="24"/>
          <w:szCs w:val="24"/>
        </w:rPr>
        <w:t>,</w:t>
      </w:r>
      <w:r w:rsidR="001F654E">
        <w:rPr>
          <w:rFonts w:ascii="Arial" w:hAnsi="Arial" w:cs="Arial"/>
          <w:sz w:val="24"/>
          <w:szCs w:val="24"/>
        </w:rPr>
        <w:t xml:space="preserve"> and</w:t>
      </w:r>
      <w:r w:rsidR="006245DF">
        <w:rPr>
          <w:rFonts w:ascii="Arial" w:hAnsi="Arial" w:cs="Arial"/>
          <w:sz w:val="24"/>
          <w:szCs w:val="24"/>
        </w:rPr>
        <w:t xml:space="preserve"> expressed certain</w:t>
      </w:r>
      <w:r w:rsidR="001F654E">
        <w:rPr>
          <w:rFonts w:ascii="Arial" w:hAnsi="Arial" w:cs="Arial"/>
          <w:sz w:val="24"/>
          <w:szCs w:val="24"/>
        </w:rPr>
        <w:t xml:space="preserve"> opinion</w:t>
      </w:r>
      <w:r w:rsidR="006245DF">
        <w:rPr>
          <w:rFonts w:ascii="Arial" w:hAnsi="Arial" w:cs="Arial"/>
          <w:sz w:val="24"/>
          <w:szCs w:val="24"/>
        </w:rPr>
        <w:t>s which second plaintiff alleges are wholly</w:t>
      </w:r>
      <w:r w:rsidR="001F654E">
        <w:rPr>
          <w:rFonts w:ascii="Arial" w:hAnsi="Arial" w:cs="Arial"/>
          <w:sz w:val="24"/>
          <w:szCs w:val="24"/>
        </w:rPr>
        <w:t xml:space="preserve"> defamatory. Summons w</w:t>
      </w:r>
      <w:r w:rsidR="00E62832">
        <w:rPr>
          <w:rFonts w:ascii="Arial" w:hAnsi="Arial" w:cs="Arial"/>
          <w:sz w:val="24"/>
          <w:szCs w:val="24"/>
        </w:rPr>
        <w:t>as issued on 18 August 2016, one</w:t>
      </w:r>
      <w:r w:rsidR="00393D55">
        <w:rPr>
          <w:rFonts w:ascii="Arial" w:hAnsi="Arial" w:cs="Arial"/>
          <w:sz w:val="24"/>
          <w:szCs w:val="24"/>
        </w:rPr>
        <w:t xml:space="preserve"> month</w:t>
      </w:r>
      <w:r w:rsidR="001F654E">
        <w:rPr>
          <w:rFonts w:ascii="Arial" w:hAnsi="Arial" w:cs="Arial"/>
          <w:sz w:val="24"/>
          <w:szCs w:val="24"/>
        </w:rPr>
        <w:t xml:space="preserve"> after </w:t>
      </w:r>
      <w:r w:rsidR="007E0099">
        <w:rPr>
          <w:rFonts w:ascii="Arial" w:hAnsi="Arial" w:cs="Arial"/>
          <w:sz w:val="24"/>
          <w:szCs w:val="24"/>
        </w:rPr>
        <w:t>the issuing of</w:t>
      </w:r>
      <w:r w:rsidR="00393D55">
        <w:rPr>
          <w:rFonts w:ascii="Arial" w:hAnsi="Arial" w:cs="Arial"/>
          <w:sz w:val="24"/>
          <w:szCs w:val="24"/>
        </w:rPr>
        <w:t xml:space="preserve"> </w:t>
      </w:r>
      <w:r w:rsidR="001F654E">
        <w:rPr>
          <w:rFonts w:ascii="Arial" w:hAnsi="Arial" w:cs="Arial"/>
          <w:sz w:val="24"/>
          <w:szCs w:val="24"/>
        </w:rPr>
        <w:t>Clarke</w:t>
      </w:r>
      <w:r w:rsidR="007E0099">
        <w:rPr>
          <w:rFonts w:ascii="Arial" w:hAnsi="Arial" w:cs="Arial"/>
          <w:sz w:val="24"/>
          <w:szCs w:val="24"/>
        </w:rPr>
        <w:t>’s summons</w:t>
      </w:r>
      <w:r w:rsidR="001F654E">
        <w:rPr>
          <w:rFonts w:ascii="Arial" w:hAnsi="Arial" w:cs="Arial"/>
          <w:sz w:val="24"/>
          <w:szCs w:val="24"/>
        </w:rPr>
        <w:t xml:space="preserve">. The summons was amended on 26 March 2020. </w:t>
      </w:r>
      <w:r w:rsidR="001F654E" w:rsidRPr="0006276E">
        <w:rPr>
          <w:rFonts w:ascii="Arial" w:hAnsi="Arial" w:cs="Arial"/>
          <w:sz w:val="24"/>
          <w:szCs w:val="24"/>
        </w:rPr>
        <w:t xml:space="preserve">The mining company seeks damages </w:t>
      </w:r>
      <w:r w:rsidR="00393D55">
        <w:rPr>
          <w:rFonts w:ascii="Arial" w:hAnsi="Arial" w:cs="Arial"/>
          <w:sz w:val="24"/>
          <w:szCs w:val="24"/>
        </w:rPr>
        <w:t xml:space="preserve">in the amount </w:t>
      </w:r>
      <w:r w:rsidR="001F654E" w:rsidRPr="0006276E">
        <w:rPr>
          <w:rFonts w:ascii="Arial" w:hAnsi="Arial" w:cs="Arial"/>
          <w:sz w:val="24"/>
          <w:szCs w:val="24"/>
        </w:rPr>
        <w:t>of R1.5 million and the CEO seeks further damages of R1.5 million.</w:t>
      </w:r>
    </w:p>
    <w:p w14:paraId="77B7CEB7" w14:textId="77777777" w:rsidR="00A80E41" w:rsidRDefault="00A80E41" w:rsidP="0006276E">
      <w:pPr>
        <w:spacing w:after="0" w:line="480" w:lineRule="auto"/>
        <w:jc w:val="both"/>
        <w:rPr>
          <w:rFonts w:ascii="Arial" w:hAnsi="Arial" w:cs="Arial"/>
          <w:sz w:val="24"/>
          <w:szCs w:val="24"/>
        </w:rPr>
      </w:pPr>
    </w:p>
    <w:p w14:paraId="6182363E" w14:textId="77777777" w:rsidR="00A80E41" w:rsidRPr="0006276E" w:rsidRDefault="00A80E41" w:rsidP="00A80E41">
      <w:pPr>
        <w:spacing w:after="0" w:line="480" w:lineRule="auto"/>
        <w:jc w:val="both"/>
        <w:rPr>
          <w:rFonts w:ascii="Arial" w:hAnsi="Arial" w:cs="Arial"/>
          <w:sz w:val="24"/>
          <w:szCs w:val="24"/>
        </w:rPr>
      </w:pPr>
      <w:r w:rsidRPr="0006276E">
        <w:rPr>
          <w:rFonts w:ascii="Arial" w:hAnsi="Arial" w:cs="Arial"/>
          <w:sz w:val="24"/>
          <w:szCs w:val="24"/>
        </w:rPr>
        <w:t>[</w:t>
      </w:r>
      <w:r w:rsidR="007B2594">
        <w:rPr>
          <w:rFonts w:ascii="Arial" w:hAnsi="Arial" w:cs="Arial"/>
          <w:sz w:val="24"/>
          <w:szCs w:val="24"/>
        </w:rPr>
        <w:t>4</w:t>
      </w:r>
      <w:r w:rsidRPr="0006276E">
        <w:rPr>
          <w:rFonts w:ascii="Arial" w:hAnsi="Arial" w:cs="Arial"/>
          <w:sz w:val="24"/>
          <w:szCs w:val="24"/>
        </w:rPr>
        <w:t>]</w:t>
      </w:r>
      <w:r w:rsidRPr="0006276E">
        <w:rPr>
          <w:rFonts w:ascii="Arial" w:hAnsi="Arial" w:cs="Arial"/>
          <w:sz w:val="24"/>
          <w:szCs w:val="24"/>
        </w:rPr>
        <w:tab/>
        <w:t xml:space="preserve">In the </w:t>
      </w:r>
      <w:proofErr w:type="spellStart"/>
      <w:r w:rsidRPr="005E5806">
        <w:rPr>
          <w:rFonts w:ascii="Arial" w:hAnsi="Arial" w:cs="Arial"/>
          <w:sz w:val="24"/>
          <w:szCs w:val="24"/>
        </w:rPr>
        <w:t>Redell</w:t>
      </w:r>
      <w:proofErr w:type="spellEnd"/>
      <w:r w:rsidRPr="00BC01F8">
        <w:rPr>
          <w:rFonts w:ascii="Arial" w:hAnsi="Arial" w:cs="Arial"/>
          <w:b/>
          <w:sz w:val="24"/>
          <w:szCs w:val="24"/>
        </w:rPr>
        <w:t xml:space="preserve"> </w:t>
      </w:r>
      <w:r w:rsidRPr="0085358B">
        <w:rPr>
          <w:rFonts w:ascii="Arial" w:hAnsi="Arial" w:cs="Arial"/>
          <w:sz w:val="24"/>
          <w:szCs w:val="24"/>
        </w:rPr>
        <w:t>matter</w:t>
      </w:r>
      <w:r w:rsidR="007E0099">
        <w:rPr>
          <w:rFonts w:ascii="Arial" w:hAnsi="Arial" w:cs="Arial"/>
          <w:sz w:val="24"/>
          <w:szCs w:val="24"/>
        </w:rPr>
        <w:t>, first, second and t</w:t>
      </w:r>
      <w:r w:rsidRPr="0006276E">
        <w:rPr>
          <w:rFonts w:ascii="Arial" w:hAnsi="Arial" w:cs="Arial"/>
          <w:sz w:val="24"/>
          <w:szCs w:val="24"/>
        </w:rPr>
        <w:t xml:space="preserve">hird </w:t>
      </w:r>
      <w:r w:rsidR="007E0099">
        <w:rPr>
          <w:rFonts w:ascii="Arial" w:hAnsi="Arial" w:cs="Arial"/>
          <w:sz w:val="24"/>
          <w:szCs w:val="24"/>
        </w:rPr>
        <w:t>d</w:t>
      </w:r>
      <w:r>
        <w:rPr>
          <w:rFonts w:ascii="Arial" w:hAnsi="Arial" w:cs="Arial"/>
          <w:sz w:val="24"/>
          <w:szCs w:val="24"/>
        </w:rPr>
        <w:t>efendants</w:t>
      </w:r>
      <w:r w:rsidRPr="0006276E">
        <w:rPr>
          <w:rFonts w:ascii="Arial" w:hAnsi="Arial" w:cs="Arial"/>
          <w:sz w:val="24"/>
          <w:szCs w:val="24"/>
        </w:rPr>
        <w:t xml:space="preserve"> presented a lecture series </w:t>
      </w:r>
      <w:r w:rsidR="0085358B">
        <w:rPr>
          <w:rFonts w:ascii="Arial" w:hAnsi="Arial" w:cs="Arial"/>
          <w:sz w:val="24"/>
          <w:szCs w:val="24"/>
        </w:rPr>
        <w:t>entitled “</w:t>
      </w:r>
      <w:r w:rsidR="0085358B" w:rsidRPr="0085358B">
        <w:rPr>
          <w:rFonts w:ascii="Arial" w:hAnsi="Arial" w:cs="Arial"/>
          <w:i/>
          <w:sz w:val="24"/>
          <w:szCs w:val="24"/>
        </w:rPr>
        <w:t>Mining the Wild and West Coast: ‘Developmen</w:t>
      </w:r>
      <w:r w:rsidR="007E0099">
        <w:rPr>
          <w:rFonts w:ascii="Arial" w:hAnsi="Arial" w:cs="Arial"/>
          <w:i/>
          <w:sz w:val="24"/>
          <w:szCs w:val="24"/>
        </w:rPr>
        <w:t>t’ at what c</w:t>
      </w:r>
      <w:r w:rsidR="0085358B" w:rsidRPr="0085358B">
        <w:rPr>
          <w:rFonts w:ascii="Arial" w:hAnsi="Arial" w:cs="Arial"/>
          <w:i/>
          <w:sz w:val="24"/>
          <w:szCs w:val="24"/>
        </w:rPr>
        <w:t>ost</w:t>
      </w:r>
      <w:r w:rsidR="007E0099">
        <w:rPr>
          <w:rFonts w:ascii="Arial" w:hAnsi="Arial" w:cs="Arial"/>
          <w:i/>
          <w:sz w:val="24"/>
          <w:szCs w:val="24"/>
        </w:rPr>
        <w:t>?</w:t>
      </w:r>
      <w:r w:rsidR="0085358B">
        <w:rPr>
          <w:rFonts w:ascii="Arial" w:hAnsi="Arial" w:cs="Arial"/>
          <w:sz w:val="24"/>
          <w:szCs w:val="24"/>
        </w:rPr>
        <w:t xml:space="preserve">” </w:t>
      </w:r>
      <w:r w:rsidRPr="0006276E">
        <w:rPr>
          <w:rFonts w:ascii="Arial" w:hAnsi="Arial" w:cs="Arial"/>
          <w:sz w:val="24"/>
          <w:szCs w:val="24"/>
        </w:rPr>
        <w:t xml:space="preserve">on 25 January 2017, at </w:t>
      </w:r>
      <w:r w:rsidR="00393D55">
        <w:rPr>
          <w:rFonts w:ascii="Arial" w:hAnsi="Arial" w:cs="Arial"/>
          <w:sz w:val="24"/>
          <w:szCs w:val="24"/>
        </w:rPr>
        <w:t>the Summer School P</w:t>
      </w:r>
      <w:r w:rsidRPr="0006276E">
        <w:rPr>
          <w:rFonts w:ascii="Arial" w:hAnsi="Arial" w:cs="Arial"/>
          <w:sz w:val="24"/>
          <w:szCs w:val="24"/>
        </w:rPr>
        <w:t>rogramme</w:t>
      </w:r>
      <w:r w:rsidR="00393D55">
        <w:rPr>
          <w:rFonts w:ascii="Arial" w:hAnsi="Arial" w:cs="Arial"/>
          <w:sz w:val="24"/>
          <w:szCs w:val="24"/>
        </w:rPr>
        <w:t xml:space="preserve"> of the University of Cape Town</w:t>
      </w:r>
      <w:r w:rsidRPr="0006276E">
        <w:rPr>
          <w:rFonts w:ascii="Arial" w:hAnsi="Arial" w:cs="Arial"/>
          <w:sz w:val="24"/>
          <w:szCs w:val="24"/>
        </w:rPr>
        <w:t>.</w:t>
      </w:r>
      <w:r w:rsidR="0085358B">
        <w:rPr>
          <w:rFonts w:ascii="Arial" w:hAnsi="Arial" w:cs="Arial"/>
          <w:sz w:val="24"/>
          <w:szCs w:val="24"/>
        </w:rPr>
        <w:t xml:space="preserve"> </w:t>
      </w:r>
      <w:r w:rsidRPr="0006276E">
        <w:rPr>
          <w:rFonts w:ascii="Arial" w:hAnsi="Arial" w:cs="Arial"/>
          <w:sz w:val="24"/>
          <w:szCs w:val="24"/>
        </w:rPr>
        <w:t>The Tormin mine was the</w:t>
      </w:r>
      <w:r w:rsidR="00393D55">
        <w:rPr>
          <w:rFonts w:ascii="Arial" w:hAnsi="Arial" w:cs="Arial"/>
          <w:sz w:val="24"/>
          <w:szCs w:val="24"/>
        </w:rPr>
        <w:t xml:space="preserve"> primary</w:t>
      </w:r>
      <w:r w:rsidRPr="0006276E">
        <w:rPr>
          <w:rFonts w:ascii="Arial" w:hAnsi="Arial" w:cs="Arial"/>
          <w:sz w:val="24"/>
          <w:szCs w:val="24"/>
        </w:rPr>
        <w:t xml:space="preserve"> focus o</w:t>
      </w:r>
      <w:r w:rsidR="0085358B">
        <w:rPr>
          <w:rFonts w:ascii="Arial" w:hAnsi="Arial" w:cs="Arial"/>
          <w:sz w:val="24"/>
          <w:szCs w:val="24"/>
        </w:rPr>
        <w:t>f the</w:t>
      </w:r>
      <w:r w:rsidR="00393D55">
        <w:rPr>
          <w:rFonts w:ascii="Arial" w:hAnsi="Arial" w:cs="Arial"/>
          <w:sz w:val="24"/>
          <w:szCs w:val="24"/>
        </w:rPr>
        <w:t>se</w:t>
      </w:r>
      <w:r w:rsidR="0085358B">
        <w:rPr>
          <w:rFonts w:ascii="Arial" w:hAnsi="Arial" w:cs="Arial"/>
          <w:sz w:val="24"/>
          <w:szCs w:val="24"/>
        </w:rPr>
        <w:t xml:space="preserve"> lectures</w:t>
      </w:r>
      <w:r w:rsidRPr="0006276E">
        <w:rPr>
          <w:rFonts w:ascii="Arial" w:hAnsi="Arial" w:cs="Arial"/>
          <w:sz w:val="24"/>
          <w:szCs w:val="24"/>
        </w:rPr>
        <w:t>.</w:t>
      </w:r>
      <w:r w:rsidR="0085358B">
        <w:rPr>
          <w:rFonts w:ascii="Arial" w:hAnsi="Arial" w:cs="Arial"/>
          <w:sz w:val="24"/>
          <w:szCs w:val="24"/>
        </w:rPr>
        <w:t xml:space="preserve"> During the course of the lecture the defendants made vari</w:t>
      </w:r>
      <w:r w:rsidR="00393D55">
        <w:rPr>
          <w:rFonts w:ascii="Arial" w:hAnsi="Arial" w:cs="Arial"/>
          <w:sz w:val="24"/>
          <w:szCs w:val="24"/>
        </w:rPr>
        <w:t xml:space="preserve">ous statements, expressed </w:t>
      </w:r>
      <w:r w:rsidR="0085358B">
        <w:rPr>
          <w:rFonts w:ascii="Arial" w:hAnsi="Arial" w:cs="Arial"/>
          <w:sz w:val="24"/>
          <w:szCs w:val="24"/>
        </w:rPr>
        <w:t>opinions and criticised the plaintiffs’ mining operations.</w:t>
      </w:r>
      <w:r w:rsidR="00340231">
        <w:rPr>
          <w:rFonts w:ascii="Arial" w:hAnsi="Arial" w:cs="Arial"/>
          <w:sz w:val="24"/>
          <w:szCs w:val="24"/>
        </w:rPr>
        <w:t xml:space="preserve"> According to the plaintiffs</w:t>
      </w:r>
      <w:r w:rsidRPr="0006276E">
        <w:rPr>
          <w:rFonts w:ascii="Arial" w:hAnsi="Arial" w:cs="Arial"/>
          <w:sz w:val="24"/>
          <w:szCs w:val="24"/>
        </w:rPr>
        <w:t xml:space="preserve"> </w:t>
      </w:r>
      <w:r w:rsidR="00340231">
        <w:rPr>
          <w:rFonts w:ascii="Arial" w:hAnsi="Arial" w:cs="Arial"/>
          <w:sz w:val="24"/>
          <w:szCs w:val="24"/>
        </w:rPr>
        <w:t xml:space="preserve">the defendants made numerous </w:t>
      </w:r>
      <w:r w:rsidR="00393D55">
        <w:rPr>
          <w:rFonts w:ascii="Arial" w:hAnsi="Arial" w:cs="Arial"/>
          <w:sz w:val="24"/>
          <w:szCs w:val="24"/>
        </w:rPr>
        <w:t xml:space="preserve">spurious and </w:t>
      </w:r>
      <w:r w:rsidRPr="0006276E">
        <w:rPr>
          <w:rFonts w:ascii="Arial" w:hAnsi="Arial" w:cs="Arial"/>
          <w:sz w:val="24"/>
          <w:szCs w:val="24"/>
        </w:rPr>
        <w:t xml:space="preserve">defamatory statements implying that the mining operations are conducted in an unlawful and deceitful manner that </w:t>
      </w:r>
      <w:r w:rsidR="00393D55">
        <w:rPr>
          <w:rFonts w:ascii="Arial" w:hAnsi="Arial" w:cs="Arial"/>
          <w:sz w:val="24"/>
          <w:szCs w:val="24"/>
        </w:rPr>
        <w:t>has a devastating effect on the environment</w:t>
      </w:r>
      <w:r w:rsidRPr="0006276E">
        <w:rPr>
          <w:rFonts w:ascii="Arial" w:hAnsi="Arial" w:cs="Arial"/>
          <w:sz w:val="24"/>
          <w:szCs w:val="24"/>
        </w:rPr>
        <w:t>.</w:t>
      </w:r>
      <w:r w:rsidR="00340231">
        <w:rPr>
          <w:rFonts w:ascii="Arial" w:hAnsi="Arial" w:cs="Arial"/>
          <w:sz w:val="24"/>
          <w:szCs w:val="24"/>
        </w:rPr>
        <w:t xml:space="preserve"> Summons was issued on 2 May 2017, and amended on 17 August 2017.</w:t>
      </w:r>
      <w:r w:rsidRPr="0006276E">
        <w:rPr>
          <w:rFonts w:ascii="Arial" w:hAnsi="Arial" w:cs="Arial"/>
          <w:sz w:val="24"/>
          <w:szCs w:val="24"/>
        </w:rPr>
        <w:t xml:space="preserve"> </w:t>
      </w:r>
      <w:r w:rsidRPr="0006276E">
        <w:rPr>
          <w:rFonts w:ascii="Arial" w:hAnsi="Arial" w:cs="Arial"/>
          <w:sz w:val="24"/>
          <w:szCs w:val="24"/>
        </w:rPr>
        <w:lastRenderedPageBreak/>
        <w:t>The</w:t>
      </w:r>
      <w:r w:rsidR="00393D55">
        <w:rPr>
          <w:rFonts w:ascii="Arial" w:hAnsi="Arial" w:cs="Arial"/>
          <w:sz w:val="24"/>
          <w:szCs w:val="24"/>
        </w:rPr>
        <w:t xml:space="preserve"> mining company seeks damages in the amount of</w:t>
      </w:r>
      <w:r w:rsidRPr="0006276E">
        <w:rPr>
          <w:rFonts w:ascii="Arial" w:hAnsi="Arial" w:cs="Arial"/>
          <w:sz w:val="24"/>
          <w:szCs w:val="24"/>
        </w:rPr>
        <w:t xml:space="preserve"> R750 000,00 and the director seeks further damages of R500 000,00. </w:t>
      </w:r>
      <w:r w:rsidR="00340231">
        <w:rPr>
          <w:rFonts w:ascii="Arial" w:hAnsi="Arial" w:cs="Arial"/>
          <w:sz w:val="24"/>
          <w:szCs w:val="24"/>
        </w:rPr>
        <w:t>The summons was effectively issued</w:t>
      </w:r>
      <w:r w:rsidR="00E62832">
        <w:rPr>
          <w:rFonts w:ascii="Arial" w:hAnsi="Arial" w:cs="Arial"/>
          <w:sz w:val="24"/>
          <w:szCs w:val="24"/>
        </w:rPr>
        <w:t xml:space="preserve"> approximately</w:t>
      </w:r>
      <w:r w:rsidR="00393D55">
        <w:rPr>
          <w:rFonts w:ascii="Arial" w:hAnsi="Arial" w:cs="Arial"/>
          <w:sz w:val="24"/>
          <w:szCs w:val="24"/>
        </w:rPr>
        <w:t xml:space="preserve"> three months subsequent to </w:t>
      </w:r>
      <w:r w:rsidR="00340231">
        <w:rPr>
          <w:rFonts w:ascii="Arial" w:hAnsi="Arial" w:cs="Arial"/>
          <w:sz w:val="24"/>
          <w:szCs w:val="24"/>
        </w:rPr>
        <w:t>the lecture series.</w:t>
      </w:r>
    </w:p>
    <w:p w14:paraId="5B67DACA" w14:textId="77777777" w:rsidR="00A80E41" w:rsidRPr="0006276E" w:rsidRDefault="00A80E41" w:rsidP="0006276E">
      <w:pPr>
        <w:spacing w:after="0" w:line="480" w:lineRule="auto"/>
        <w:jc w:val="both"/>
        <w:rPr>
          <w:rFonts w:ascii="Arial" w:hAnsi="Arial" w:cs="Arial"/>
          <w:sz w:val="24"/>
          <w:szCs w:val="24"/>
        </w:rPr>
      </w:pPr>
    </w:p>
    <w:p w14:paraId="3A41514C" w14:textId="77777777" w:rsidR="00461E60" w:rsidRPr="0006276E" w:rsidRDefault="00461E60" w:rsidP="008E7146">
      <w:pPr>
        <w:spacing w:after="0" w:line="240" w:lineRule="auto"/>
        <w:jc w:val="both"/>
        <w:rPr>
          <w:rFonts w:ascii="Arial" w:hAnsi="Arial" w:cs="Arial"/>
          <w:sz w:val="24"/>
          <w:szCs w:val="24"/>
        </w:rPr>
      </w:pPr>
    </w:p>
    <w:p w14:paraId="76D8A93F" w14:textId="77777777" w:rsidR="0006276E" w:rsidRDefault="007B2594" w:rsidP="001D5C9D">
      <w:pPr>
        <w:pStyle w:val="ListParagraph"/>
        <w:spacing w:line="480" w:lineRule="auto"/>
        <w:ind w:left="0"/>
        <w:jc w:val="both"/>
        <w:rPr>
          <w:rFonts w:ascii="Arial" w:hAnsi="Arial" w:cs="Arial"/>
          <w:sz w:val="24"/>
          <w:szCs w:val="24"/>
        </w:rPr>
      </w:pPr>
      <w:r>
        <w:rPr>
          <w:rFonts w:ascii="Arial" w:hAnsi="Arial" w:cs="Arial"/>
          <w:sz w:val="24"/>
          <w:szCs w:val="24"/>
        </w:rPr>
        <w:t>[5</w:t>
      </w:r>
      <w:r w:rsidR="002F3A35" w:rsidRPr="0006276E">
        <w:rPr>
          <w:rFonts w:ascii="Arial" w:hAnsi="Arial" w:cs="Arial"/>
          <w:sz w:val="24"/>
          <w:szCs w:val="24"/>
        </w:rPr>
        <w:t>]</w:t>
      </w:r>
      <w:r w:rsidR="002F3A35" w:rsidRPr="0006276E">
        <w:rPr>
          <w:rFonts w:ascii="Arial" w:hAnsi="Arial" w:cs="Arial"/>
          <w:sz w:val="24"/>
          <w:szCs w:val="24"/>
        </w:rPr>
        <w:tab/>
      </w:r>
      <w:r w:rsidR="0006276E" w:rsidRPr="0006276E">
        <w:rPr>
          <w:rFonts w:ascii="Arial" w:hAnsi="Arial" w:cs="Arial"/>
          <w:sz w:val="24"/>
          <w:szCs w:val="24"/>
        </w:rPr>
        <w:t>In</w:t>
      </w:r>
      <w:r w:rsidR="002F3A35" w:rsidRPr="0006276E">
        <w:rPr>
          <w:rFonts w:ascii="Arial" w:hAnsi="Arial" w:cs="Arial"/>
          <w:sz w:val="24"/>
          <w:szCs w:val="24"/>
        </w:rPr>
        <w:t xml:space="preserve"> </w:t>
      </w:r>
      <w:r w:rsidR="00D02A82">
        <w:rPr>
          <w:rFonts w:ascii="Arial" w:hAnsi="Arial" w:cs="Arial"/>
          <w:sz w:val="24"/>
          <w:szCs w:val="24"/>
        </w:rPr>
        <w:t xml:space="preserve">summary, in </w:t>
      </w:r>
      <w:r w:rsidR="002F3A35" w:rsidRPr="0006276E">
        <w:rPr>
          <w:rFonts w:ascii="Arial" w:hAnsi="Arial" w:cs="Arial"/>
          <w:sz w:val="24"/>
          <w:szCs w:val="24"/>
        </w:rPr>
        <w:t xml:space="preserve">each of the actions, the </w:t>
      </w:r>
      <w:r w:rsidR="007F5465">
        <w:rPr>
          <w:rFonts w:ascii="Arial" w:hAnsi="Arial" w:cs="Arial"/>
          <w:sz w:val="24"/>
          <w:szCs w:val="24"/>
        </w:rPr>
        <w:t>p</w:t>
      </w:r>
      <w:r w:rsidR="002738EE">
        <w:rPr>
          <w:rFonts w:ascii="Arial" w:hAnsi="Arial" w:cs="Arial"/>
          <w:sz w:val="24"/>
          <w:szCs w:val="24"/>
        </w:rPr>
        <w:t>laintiff</w:t>
      </w:r>
      <w:r w:rsidR="002F3A35" w:rsidRPr="0006276E">
        <w:rPr>
          <w:rFonts w:ascii="Arial" w:hAnsi="Arial" w:cs="Arial"/>
          <w:sz w:val="24"/>
          <w:szCs w:val="24"/>
        </w:rPr>
        <w:t xml:space="preserve">s sue the </w:t>
      </w:r>
      <w:r w:rsidR="00BD4731">
        <w:rPr>
          <w:rFonts w:ascii="Arial" w:hAnsi="Arial" w:cs="Arial"/>
          <w:sz w:val="24"/>
          <w:szCs w:val="24"/>
        </w:rPr>
        <w:t>defendant</w:t>
      </w:r>
      <w:r w:rsidR="002738EE">
        <w:rPr>
          <w:rFonts w:ascii="Arial" w:hAnsi="Arial" w:cs="Arial"/>
          <w:sz w:val="24"/>
          <w:szCs w:val="24"/>
        </w:rPr>
        <w:t>s</w:t>
      </w:r>
      <w:r w:rsidR="002F3A35" w:rsidRPr="0006276E">
        <w:rPr>
          <w:rFonts w:ascii="Arial" w:hAnsi="Arial" w:cs="Arial"/>
          <w:sz w:val="24"/>
          <w:szCs w:val="24"/>
        </w:rPr>
        <w:t xml:space="preserve"> for defamation. </w:t>
      </w:r>
      <w:r w:rsidR="002738EE">
        <w:rPr>
          <w:rFonts w:ascii="Arial" w:hAnsi="Arial" w:cs="Arial"/>
          <w:sz w:val="24"/>
          <w:szCs w:val="24"/>
        </w:rPr>
        <w:t>Plaintiff</w:t>
      </w:r>
      <w:r w:rsidR="002F3A35" w:rsidRPr="0006276E">
        <w:rPr>
          <w:rFonts w:ascii="Arial" w:hAnsi="Arial" w:cs="Arial"/>
          <w:sz w:val="24"/>
          <w:szCs w:val="24"/>
        </w:rPr>
        <w:t xml:space="preserve">s allege that each of the </w:t>
      </w:r>
      <w:r w:rsidR="007F5465">
        <w:rPr>
          <w:rFonts w:ascii="Arial" w:hAnsi="Arial" w:cs="Arial"/>
          <w:sz w:val="24"/>
          <w:szCs w:val="24"/>
        </w:rPr>
        <w:t>d</w:t>
      </w:r>
      <w:r w:rsidR="00BD4731">
        <w:rPr>
          <w:rFonts w:ascii="Arial" w:hAnsi="Arial" w:cs="Arial"/>
          <w:sz w:val="24"/>
          <w:szCs w:val="24"/>
        </w:rPr>
        <w:t>efendant</w:t>
      </w:r>
      <w:r w:rsidR="002738EE">
        <w:rPr>
          <w:rFonts w:ascii="Arial" w:hAnsi="Arial" w:cs="Arial"/>
          <w:sz w:val="24"/>
          <w:szCs w:val="24"/>
        </w:rPr>
        <w:t>s</w:t>
      </w:r>
      <w:r w:rsidR="00E34065">
        <w:rPr>
          <w:rFonts w:ascii="Arial" w:hAnsi="Arial" w:cs="Arial"/>
          <w:sz w:val="24"/>
          <w:szCs w:val="24"/>
        </w:rPr>
        <w:t xml:space="preserve"> made </w:t>
      </w:r>
      <w:r w:rsidR="002F3A35" w:rsidRPr="0006276E">
        <w:rPr>
          <w:rFonts w:ascii="Arial" w:hAnsi="Arial" w:cs="Arial"/>
          <w:sz w:val="24"/>
          <w:szCs w:val="24"/>
        </w:rPr>
        <w:t xml:space="preserve">defamatory statements relating to </w:t>
      </w:r>
      <w:r w:rsidR="002738EE">
        <w:rPr>
          <w:rFonts w:ascii="Arial" w:hAnsi="Arial" w:cs="Arial"/>
          <w:sz w:val="24"/>
          <w:szCs w:val="24"/>
        </w:rPr>
        <w:t>plaintiff</w:t>
      </w:r>
      <w:r w:rsidR="002F3A35" w:rsidRPr="0006276E">
        <w:rPr>
          <w:rFonts w:ascii="Arial" w:hAnsi="Arial" w:cs="Arial"/>
          <w:sz w:val="24"/>
          <w:szCs w:val="24"/>
        </w:rPr>
        <w:t>s</w:t>
      </w:r>
      <w:r w:rsidR="00AF2387">
        <w:rPr>
          <w:rFonts w:ascii="Arial" w:hAnsi="Arial" w:cs="Arial"/>
          <w:sz w:val="24"/>
          <w:szCs w:val="24"/>
        </w:rPr>
        <w:t>’</w:t>
      </w:r>
      <w:r w:rsidR="002F3A35" w:rsidRPr="0006276E">
        <w:rPr>
          <w:rFonts w:ascii="Arial" w:hAnsi="Arial" w:cs="Arial"/>
          <w:sz w:val="24"/>
          <w:szCs w:val="24"/>
        </w:rPr>
        <w:t xml:space="preserve"> mining operations</w:t>
      </w:r>
      <w:r w:rsidR="00393D55">
        <w:rPr>
          <w:rFonts w:ascii="Arial" w:hAnsi="Arial" w:cs="Arial"/>
          <w:sz w:val="24"/>
          <w:szCs w:val="24"/>
        </w:rPr>
        <w:t xml:space="preserve"> and activities</w:t>
      </w:r>
      <w:r w:rsidR="002F3A35" w:rsidRPr="0006276E">
        <w:rPr>
          <w:rFonts w:ascii="Arial" w:hAnsi="Arial" w:cs="Arial"/>
          <w:sz w:val="24"/>
          <w:szCs w:val="24"/>
        </w:rPr>
        <w:t xml:space="preserve">. The </w:t>
      </w:r>
      <w:r w:rsidR="00DA3C3D">
        <w:rPr>
          <w:rFonts w:ascii="Arial" w:hAnsi="Arial" w:cs="Arial"/>
          <w:sz w:val="24"/>
          <w:szCs w:val="24"/>
        </w:rPr>
        <w:t>p</w:t>
      </w:r>
      <w:r w:rsidR="002738EE">
        <w:rPr>
          <w:rFonts w:ascii="Arial" w:hAnsi="Arial" w:cs="Arial"/>
          <w:sz w:val="24"/>
          <w:szCs w:val="24"/>
        </w:rPr>
        <w:t>laintiff</w:t>
      </w:r>
      <w:r w:rsidR="00393D55">
        <w:rPr>
          <w:rFonts w:ascii="Arial" w:hAnsi="Arial" w:cs="Arial"/>
          <w:sz w:val="24"/>
          <w:szCs w:val="24"/>
        </w:rPr>
        <w:t>s seek damages, alternatively,</w:t>
      </w:r>
      <w:r w:rsidR="002F3A35" w:rsidRPr="0006276E">
        <w:rPr>
          <w:rFonts w:ascii="Arial" w:hAnsi="Arial" w:cs="Arial"/>
          <w:sz w:val="24"/>
          <w:szCs w:val="24"/>
        </w:rPr>
        <w:t xml:space="preserve"> the publication of apologies.</w:t>
      </w:r>
      <w:r w:rsidR="008E7146">
        <w:rPr>
          <w:rFonts w:ascii="Arial" w:hAnsi="Arial" w:cs="Arial"/>
          <w:sz w:val="24"/>
          <w:szCs w:val="24"/>
        </w:rPr>
        <w:t xml:space="preserve"> </w:t>
      </w:r>
      <w:r w:rsidR="00E62832">
        <w:rPr>
          <w:rFonts w:ascii="Arial" w:hAnsi="Arial" w:cs="Arial"/>
          <w:sz w:val="24"/>
          <w:szCs w:val="24"/>
        </w:rPr>
        <w:t>In each of the actions the defendants raised a SLAPP defence.</w:t>
      </w:r>
    </w:p>
    <w:p w14:paraId="70E1D184" w14:textId="77777777" w:rsidR="007E7DE9" w:rsidRPr="001D5C9D" w:rsidRDefault="007E7DE9" w:rsidP="007E7DE9">
      <w:pPr>
        <w:pStyle w:val="ListParagraph"/>
        <w:spacing w:after="0" w:line="240" w:lineRule="auto"/>
        <w:ind w:left="0"/>
        <w:jc w:val="both"/>
        <w:rPr>
          <w:rFonts w:ascii="Arial" w:hAnsi="Arial" w:cs="Arial"/>
          <w:sz w:val="24"/>
          <w:szCs w:val="24"/>
        </w:rPr>
      </w:pPr>
    </w:p>
    <w:p w14:paraId="222FAA11" w14:textId="77777777" w:rsidR="002F3A35" w:rsidRDefault="002F3A35" w:rsidP="0006276E">
      <w:pPr>
        <w:spacing w:line="480" w:lineRule="auto"/>
        <w:jc w:val="both"/>
        <w:rPr>
          <w:rFonts w:ascii="Arial" w:hAnsi="Arial" w:cs="Arial"/>
          <w:b/>
          <w:sz w:val="24"/>
          <w:szCs w:val="24"/>
          <w:u w:val="single"/>
        </w:rPr>
      </w:pPr>
      <w:r w:rsidRPr="0006276E">
        <w:rPr>
          <w:rFonts w:ascii="Arial" w:hAnsi="Arial" w:cs="Arial"/>
          <w:b/>
          <w:sz w:val="24"/>
          <w:szCs w:val="24"/>
          <w:u w:val="single"/>
        </w:rPr>
        <w:t xml:space="preserve">The </w:t>
      </w:r>
      <w:r w:rsidR="00BD4731">
        <w:rPr>
          <w:rFonts w:ascii="Arial" w:hAnsi="Arial" w:cs="Arial"/>
          <w:b/>
          <w:sz w:val="24"/>
          <w:szCs w:val="24"/>
          <w:u w:val="single"/>
        </w:rPr>
        <w:t>Defendant</w:t>
      </w:r>
      <w:r w:rsidR="002738EE">
        <w:rPr>
          <w:rFonts w:ascii="Arial" w:hAnsi="Arial" w:cs="Arial"/>
          <w:b/>
          <w:sz w:val="24"/>
          <w:szCs w:val="24"/>
          <w:u w:val="single"/>
        </w:rPr>
        <w:t>s</w:t>
      </w:r>
      <w:r w:rsidRPr="0006276E">
        <w:rPr>
          <w:rFonts w:ascii="Arial" w:hAnsi="Arial" w:cs="Arial"/>
          <w:b/>
          <w:sz w:val="24"/>
          <w:szCs w:val="24"/>
          <w:u w:val="single"/>
        </w:rPr>
        <w:t xml:space="preserve"> Special Pleas:</w:t>
      </w:r>
    </w:p>
    <w:p w14:paraId="199C246C" w14:textId="77777777" w:rsidR="00681448" w:rsidRDefault="00B86685" w:rsidP="00681448">
      <w:pPr>
        <w:spacing w:line="480" w:lineRule="auto"/>
        <w:jc w:val="both"/>
        <w:rPr>
          <w:rFonts w:ascii="Arial" w:hAnsi="Arial" w:cs="Arial"/>
          <w:b/>
          <w:i/>
          <w:sz w:val="24"/>
          <w:szCs w:val="24"/>
        </w:rPr>
      </w:pPr>
      <w:r>
        <w:rPr>
          <w:rFonts w:ascii="Arial" w:hAnsi="Arial" w:cs="Arial"/>
          <w:b/>
          <w:i/>
          <w:sz w:val="24"/>
          <w:szCs w:val="24"/>
        </w:rPr>
        <w:t>First Special P</w:t>
      </w:r>
      <w:r w:rsidR="001D5C9D" w:rsidRPr="001D5C9D">
        <w:rPr>
          <w:rFonts w:ascii="Arial" w:hAnsi="Arial" w:cs="Arial"/>
          <w:b/>
          <w:i/>
          <w:sz w:val="24"/>
          <w:szCs w:val="24"/>
        </w:rPr>
        <w:t>lea</w:t>
      </w:r>
    </w:p>
    <w:p w14:paraId="162DF956" w14:textId="77777777" w:rsidR="0015196C" w:rsidRPr="001D5C9D" w:rsidRDefault="0015196C" w:rsidP="0015196C">
      <w:pPr>
        <w:spacing w:after="0" w:line="240" w:lineRule="auto"/>
        <w:jc w:val="both"/>
        <w:rPr>
          <w:rFonts w:ascii="Arial" w:hAnsi="Arial" w:cs="Arial"/>
          <w:b/>
          <w:i/>
          <w:sz w:val="24"/>
          <w:szCs w:val="24"/>
        </w:rPr>
      </w:pPr>
    </w:p>
    <w:p w14:paraId="7CC31142" w14:textId="77777777" w:rsidR="002F3A35" w:rsidRPr="0006276E" w:rsidRDefault="002F3A35" w:rsidP="0006276E">
      <w:pPr>
        <w:spacing w:line="480" w:lineRule="auto"/>
        <w:jc w:val="both"/>
        <w:rPr>
          <w:rFonts w:ascii="Arial" w:hAnsi="Arial" w:cs="Arial"/>
          <w:sz w:val="24"/>
          <w:szCs w:val="24"/>
        </w:rPr>
      </w:pPr>
      <w:r w:rsidRPr="0006276E">
        <w:rPr>
          <w:rFonts w:ascii="Arial" w:hAnsi="Arial" w:cs="Arial"/>
          <w:sz w:val="24"/>
          <w:szCs w:val="24"/>
        </w:rPr>
        <w:t>[</w:t>
      </w:r>
      <w:r w:rsidR="007B2594">
        <w:rPr>
          <w:rFonts w:ascii="Arial" w:hAnsi="Arial" w:cs="Arial"/>
          <w:sz w:val="24"/>
          <w:szCs w:val="24"/>
        </w:rPr>
        <w:t>6</w:t>
      </w:r>
      <w:r w:rsidRPr="0006276E">
        <w:rPr>
          <w:rFonts w:ascii="Arial" w:hAnsi="Arial" w:cs="Arial"/>
          <w:sz w:val="24"/>
          <w:szCs w:val="24"/>
        </w:rPr>
        <w:t>]</w:t>
      </w:r>
      <w:r w:rsidRPr="0006276E">
        <w:rPr>
          <w:rFonts w:ascii="Arial" w:hAnsi="Arial" w:cs="Arial"/>
          <w:sz w:val="24"/>
          <w:szCs w:val="24"/>
        </w:rPr>
        <w:tab/>
        <w:t xml:space="preserve">The </w:t>
      </w:r>
      <w:r w:rsidR="00BD4731">
        <w:rPr>
          <w:rFonts w:ascii="Arial" w:hAnsi="Arial" w:cs="Arial"/>
          <w:sz w:val="24"/>
          <w:szCs w:val="24"/>
        </w:rPr>
        <w:t>defendant</w:t>
      </w:r>
      <w:r w:rsidR="002738EE">
        <w:rPr>
          <w:rFonts w:ascii="Arial" w:hAnsi="Arial" w:cs="Arial"/>
          <w:sz w:val="24"/>
          <w:szCs w:val="24"/>
        </w:rPr>
        <w:t>s</w:t>
      </w:r>
      <w:r w:rsidRPr="0006276E">
        <w:rPr>
          <w:rFonts w:ascii="Arial" w:hAnsi="Arial" w:cs="Arial"/>
          <w:sz w:val="24"/>
          <w:szCs w:val="24"/>
        </w:rPr>
        <w:t xml:space="preserve"> plead that the </w:t>
      </w:r>
      <w:r w:rsidR="00DA3C3D">
        <w:rPr>
          <w:rFonts w:ascii="Arial" w:hAnsi="Arial" w:cs="Arial"/>
          <w:sz w:val="24"/>
          <w:szCs w:val="24"/>
        </w:rPr>
        <w:t>p</w:t>
      </w:r>
      <w:r w:rsidR="002738EE">
        <w:rPr>
          <w:rFonts w:ascii="Arial" w:hAnsi="Arial" w:cs="Arial"/>
          <w:sz w:val="24"/>
          <w:szCs w:val="24"/>
        </w:rPr>
        <w:t>laintiff</w:t>
      </w:r>
      <w:r w:rsidRPr="0006276E">
        <w:rPr>
          <w:rFonts w:ascii="Arial" w:hAnsi="Arial" w:cs="Arial"/>
          <w:sz w:val="24"/>
          <w:szCs w:val="24"/>
        </w:rPr>
        <w:t>s’ conduct in bringing each of the actions:</w:t>
      </w:r>
    </w:p>
    <w:p w14:paraId="627A19F2" w14:textId="77777777" w:rsidR="002F3A35" w:rsidRPr="0006276E" w:rsidRDefault="002F3A35" w:rsidP="0006276E">
      <w:pPr>
        <w:spacing w:line="480" w:lineRule="auto"/>
        <w:jc w:val="both"/>
        <w:rPr>
          <w:rFonts w:ascii="Arial" w:hAnsi="Arial" w:cs="Arial"/>
          <w:sz w:val="24"/>
          <w:szCs w:val="24"/>
        </w:rPr>
      </w:pPr>
      <w:r w:rsidRPr="0006276E">
        <w:rPr>
          <w:rFonts w:ascii="Arial" w:hAnsi="Arial" w:cs="Arial"/>
          <w:sz w:val="24"/>
          <w:szCs w:val="24"/>
        </w:rPr>
        <w:tab/>
      </w:r>
      <w:r w:rsidR="007B2594">
        <w:rPr>
          <w:rFonts w:ascii="Arial" w:hAnsi="Arial" w:cs="Arial"/>
          <w:sz w:val="24"/>
          <w:szCs w:val="24"/>
        </w:rPr>
        <w:t>6</w:t>
      </w:r>
      <w:r w:rsidRPr="0006276E">
        <w:rPr>
          <w:rFonts w:ascii="Arial" w:hAnsi="Arial" w:cs="Arial"/>
          <w:sz w:val="24"/>
          <w:szCs w:val="24"/>
        </w:rPr>
        <w:t>.1</w:t>
      </w:r>
      <w:r w:rsidRPr="0006276E">
        <w:rPr>
          <w:rFonts w:ascii="Arial" w:hAnsi="Arial" w:cs="Arial"/>
          <w:sz w:val="24"/>
          <w:szCs w:val="24"/>
        </w:rPr>
        <w:tab/>
        <w:t xml:space="preserve">is an abuse of process; and/or </w:t>
      </w:r>
    </w:p>
    <w:p w14:paraId="01423441" w14:textId="77777777" w:rsidR="00FC2693" w:rsidRDefault="002F3A35" w:rsidP="0006276E">
      <w:pPr>
        <w:spacing w:line="480" w:lineRule="auto"/>
        <w:jc w:val="both"/>
        <w:rPr>
          <w:rFonts w:ascii="Arial" w:hAnsi="Arial" w:cs="Arial"/>
          <w:sz w:val="24"/>
          <w:szCs w:val="24"/>
        </w:rPr>
      </w:pPr>
      <w:r w:rsidRPr="0006276E">
        <w:rPr>
          <w:rFonts w:ascii="Arial" w:hAnsi="Arial" w:cs="Arial"/>
          <w:sz w:val="24"/>
          <w:szCs w:val="24"/>
        </w:rPr>
        <w:tab/>
      </w:r>
      <w:r w:rsidR="007B2594">
        <w:rPr>
          <w:rFonts w:ascii="Arial" w:hAnsi="Arial" w:cs="Arial"/>
          <w:sz w:val="24"/>
          <w:szCs w:val="24"/>
        </w:rPr>
        <w:t>6</w:t>
      </w:r>
      <w:r w:rsidRPr="0006276E">
        <w:rPr>
          <w:rFonts w:ascii="Arial" w:hAnsi="Arial" w:cs="Arial"/>
          <w:sz w:val="24"/>
          <w:szCs w:val="24"/>
        </w:rPr>
        <w:t>.2</w:t>
      </w:r>
      <w:r w:rsidRPr="0006276E">
        <w:rPr>
          <w:rFonts w:ascii="Arial" w:hAnsi="Arial" w:cs="Arial"/>
          <w:sz w:val="24"/>
          <w:szCs w:val="24"/>
        </w:rPr>
        <w:tab/>
        <w:t xml:space="preserve">amounts to the use of court process to achieve an improper end and to </w:t>
      </w:r>
      <w:r w:rsidR="0006276E">
        <w:rPr>
          <w:rFonts w:ascii="Arial" w:hAnsi="Arial" w:cs="Arial"/>
          <w:sz w:val="24"/>
          <w:szCs w:val="24"/>
        </w:rPr>
        <w:tab/>
      </w:r>
      <w:r w:rsidR="00DA3C3D">
        <w:rPr>
          <w:rFonts w:ascii="Arial" w:hAnsi="Arial" w:cs="Arial"/>
          <w:sz w:val="24"/>
          <w:szCs w:val="24"/>
        </w:rPr>
        <w:tab/>
      </w:r>
      <w:r w:rsidRPr="0006276E">
        <w:rPr>
          <w:rFonts w:ascii="Arial" w:hAnsi="Arial" w:cs="Arial"/>
          <w:sz w:val="24"/>
          <w:szCs w:val="24"/>
        </w:rPr>
        <w:t xml:space="preserve">use litigation to cause the </w:t>
      </w:r>
      <w:r w:rsidR="00BD4731">
        <w:rPr>
          <w:rFonts w:ascii="Arial" w:hAnsi="Arial" w:cs="Arial"/>
          <w:sz w:val="24"/>
          <w:szCs w:val="24"/>
        </w:rPr>
        <w:t>defendant</w:t>
      </w:r>
      <w:r w:rsidR="002738EE">
        <w:rPr>
          <w:rFonts w:ascii="Arial" w:hAnsi="Arial" w:cs="Arial"/>
          <w:sz w:val="24"/>
          <w:szCs w:val="24"/>
        </w:rPr>
        <w:t>s</w:t>
      </w:r>
      <w:r w:rsidRPr="0006276E">
        <w:rPr>
          <w:rFonts w:ascii="Arial" w:hAnsi="Arial" w:cs="Arial"/>
          <w:sz w:val="24"/>
          <w:szCs w:val="24"/>
        </w:rPr>
        <w:t xml:space="preserve">’ financial and/or other prejudice in </w:t>
      </w:r>
      <w:r w:rsidR="00DA3C3D">
        <w:rPr>
          <w:rFonts w:ascii="Arial" w:hAnsi="Arial" w:cs="Arial"/>
          <w:sz w:val="24"/>
          <w:szCs w:val="24"/>
        </w:rPr>
        <w:tab/>
      </w:r>
      <w:r w:rsidR="00DA3C3D">
        <w:rPr>
          <w:rFonts w:ascii="Arial" w:hAnsi="Arial" w:cs="Arial"/>
          <w:sz w:val="24"/>
          <w:szCs w:val="24"/>
        </w:rPr>
        <w:tab/>
      </w:r>
      <w:r w:rsidRPr="0006276E">
        <w:rPr>
          <w:rFonts w:ascii="Arial" w:hAnsi="Arial" w:cs="Arial"/>
          <w:sz w:val="24"/>
          <w:szCs w:val="24"/>
        </w:rPr>
        <w:t xml:space="preserve">order to silence them; and/or </w:t>
      </w:r>
    </w:p>
    <w:p w14:paraId="63DB6532" w14:textId="77777777" w:rsidR="002F3A35" w:rsidRDefault="007B2594" w:rsidP="00FC2693">
      <w:pPr>
        <w:spacing w:line="480" w:lineRule="auto"/>
        <w:ind w:firstLine="720"/>
        <w:jc w:val="both"/>
        <w:rPr>
          <w:rFonts w:ascii="Arial" w:hAnsi="Arial" w:cs="Arial"/>
          <w:sz w:val="24"/>
          <w:szCs w:val="24"/>
        </w:rPr>
      </w:pPr>
      <w:r>
        <w:rPr>
          <w:rFonts w:ascii="Arial" w:hAnsi="Arial" w:cs="Arial"/>
          <w:sz w:val="24"/>
          <w:szCs w:val="24"/>
        </w:rPr>
        <w:t>6</w:t>
      </w:r>
      <w:r w:rsidR="002F3A35" w:rsidRPr="0006276E">
        <w:rPr>
          <w:rFonts w:ascii="Arial" w:hAnsi="Arial" w:cs="Arial"/>
          <w:sz w:val="24"/>
          <w:szCs w:val="24"/>
        </w:rPr>
        <w:t>.3</w:t>
      </w:r>
      <w:r w:rsidR="002F3A35" w:rsidRPr="0006276E">
        <w:rPr>
          <w:rFonts w:ascii="Arial" w:hAnsi="Arial" w:cs="Arial"/>
          <w:sz w:val="24"/>
          <w:szCs w:val="24"/>
        </w:rPr>
        <w:tab/>
        <w:t>violates the</w:t>
      </w:r>
      <w:r w:rsidR="00647627">
        <w:rPr>
          <w:rFonts w:ascii="Arial" w:hAnsi="Arial" w:cs="Arial"/>
          <w:sz w:val="24"/>
          <w:szCs w:val="24"/>
        </w:rPr>
        <w:t xml:space="preserve"> right to freedom of expression</w:t>
      </w:r>
      <w:r w:rsidR="002F3A35" w:rsidRPr="0006276E">
        <w:rPr>
          <w:rFonts w:ascii="Arial" w:hAnsi="Arial" w:cs="Arial"/>
          <w:sz w:val="24"/>
          <w:szCs w:val="24"/>
        </w:rPr>
        <w:t xml:space="preserve"> entrenched in section 16</w:t>
      </w:r>
      <w:r w:rsidR="00B5715E">
        <w:rPr>
          <w:rStyle w:val="FootnoteReference"/>
          <w:rFonts w:ascii="Arial" w:hAnsi="Arial" w:cs="Arial"/>
          <w:sz w:val="24"/>
          <w:szCs w:val="24"/>
        </w:rPr>
        <w:footnoteReference w:id="2"/>
      </w:r>
      <w:r w:rsidR="002F3A35" w:rsidRPr="0006276E">
        <w:rPr>
          <w:rFonts w:ascii="Arial" w:hAnsi="Arial" w:cs="Arial"/>
          <w:sz w:val="24"/>
          <w:szCs w:val="24"/>
        </w:rPr>
        <w:t xml:space="preserve"> of </w:t>
      </w:r>
      <w:r w:rsidR="0006276E">
        <w:rPr>
          <w:rFonts w:ascii="Arial" w:hAnsi="Arial" w:cs="Arial"/>
          <w:sz w:val="24"/>
          <w:szCs w:val="24"/>
        </w:rPr>
        <w:tab/>
      </w:r>
      <w:r w:rsidR="00DA3C3D">
        <w:rPr>
          <w:rFonts w:ascii="Arial" w:hAnsi="Arial" w:cs="Arial"/>
          <w:sz w:val="24"/>
          <w:szCs w:val="24"/>
        </w:rPr>
        <w:tab/>
      </w:r>
      <w:r w:rsidR="002F3A35" w:rsidRPr="0006276E">
        <w:rPr>
          <w:rFonts w:ascii="Arial" w:hAnsi="Arial" w:cs="Arial"/>
          <w:sz w:val="24"/>
          <w:szCs w:val="24"/>
        </w:rPr>
        <w:t>the Constitution</w:t>
      </w:r>
      <w:r w:rsidR="00C81AC6">
        <w:rPr>
          <w:rFonts w:ascii="Arial" w:hAnsi="Arial" w:cs="Arial"/>
          <w:sz w:val="24"/>
          <w:szCs w:val="24"/>
        </w:rPr>
        <w:t xml:space="preserve"> of the Republic of South Africa</w:t>
      </w:r>
      <w:r w:rsidR="005E5806">
        <w:rPr>
          <w:rStyle w:val="FootnoteReference"/>
          <w:rFonts w:ascii="Arial" w:hAnsi="Arial" w:cs="Arial"/>
          <w:sz w:val="24"/>
          <w:szCs w:val="24"/>
        </w:rPr>
        <w:footnoteReference w:id="3"/>
      </w:r>
      <w:r w:rsidR="00C712C2">
        <w:rPr>
          <w:rFonts w:ascii="Arial" w:hAnsi="Arial" w:cs="Arial"/>
          <w:sz w:val="24"/>
          <w:szCs w:val="24"/>
        </w:rPr>
        <w:t xml:space="preserve"> (“the Constitution”)</w:t>
      </w:r>
      <w:r w:rsidR="002F3A35" w:rsidRPr="0006276E">
        <w:rPr>
          <w:rFonts w:ascii="Arial" w:hAnsi="Arial" w:cs="Arial"/>
          <w:sz w:val="24"/>
          <w:szCs w:val="24"/>
        </w:rPr>
        <w:t>.</w:t>
      </w:r>
    </w:p>
    <w:p w14:paraId="72C62938" w14:textId="77777777" w:rsidR="00547964" w:rsidRPr="0006276E" w:rsidRDefault="00547964" w:rsidP="00D13457">
      <w:pPr>
        <w:spacing w:after="0" w:line="240" w:lineRule="auto"/>
        <w:jc w:val="both"/>
        <w:rPr>
          <w:rFonts w:ascii="Arial" w:hAnsi="Arial" w:cs="Arial"/>
          <w:sz w:val="24"/>
          <w:szCs w:val="24"/>
        </w:rPr>
      </w:pPr>
    </w:p>
    <w:p w14:paraId="372850E4" w14:textId="77777777" w:rsidR="00547964" w:rsidRDefault="002F3A35" w:rsidP="0006276E">
      <w:pPr>
        <w:spacing w:line="480" w:lineRule="auto"/>
        <w:jc w:val="both"/>
        <w:rPr>
          <w:rFonts w:ascii="Arial" w:hAnsi="Arial" w:cs="Arial"/>
          <w:sz w:val="24"/>
          <w:szCs w:val="24"/>
        </w:rPr>
      </w:pPr>
      <w:r w:rsidRPr="0006276E">
        <w:rPr>
          <w:rFonts w:ascii="Arial" w:hAnsi="Arial" w:cs="Arial"/>
          <w:sz w:val="24"/>
          <w:szCs w:val="24"/>
        </w:rPr>
        <w:t>[</w:t>
      </w:r>
      <w:r w:rsidR="007B2594">
        <w:rPr>
          <w:rFonts w:ascii="Arial" w:hAnsi="Arial" w:cs="Arial"/>
          <w:sz w:val="24"/>
          <w:szCs w:val="24"/>
        </w:rPr>
        <w:t>7</w:t>
      </w:r>
      <w:r w:rsidRPr="0006276E">
        <w:rPr>
          <w:rFonts w:ascii="Arial" w:hAnsi="Arial" w:cs="Arial"/>
          <w:sz w:val="24"/>
          <w:szCs w:val="24"/>
        </w:rPr>
        <w:t>]</w:t>
      </w:r>
      <w:r w:rsidRPr="0006276E">
        <w:rPr>
          <w:rFonts w:ascii="Arial" w:hAnsi="Arial" w:cs="Arial"/>
          <w:sz w:val="24"/>
          <w:szCs w:val="24"/>
        </w:rPr>
        <w:tab/>
        <w:t xml:space="preserve">The </w:t>
      </w:r>
      <w:r w:rsidR="00BD4731">
        <w:rPr>
          <w:rFonts w:ascii="Arial" w:hAnsi="Arial" w:cs="Arial"/>
          <w:sz w:val="24"/>
          <w:szCs w:val="24"/>
        </w:rPr>
        <w:t>defendant</w:t>
      </w:r>
      <w:r w:rsidR="002738EE">
        <w:rPr>
          <w:rFonts w:ascii="Arial" w:hAnsi="Arial" w:cs="Arial"/>
          <w:sz w:val="24"/>
          <w:szCs w:val="24"/>
        </w:rPr>
        <w:t>s</w:t>
      </w:r>
      <w:r w:rsidRPr="0006276E">
        <w:rPr>
          <w:rFonts w:ascii="Arial" w:hAnsi="Arial" w:cs="Arial"/>
          <w:sz w:val="24"/>
          <w:szCs w:val="24"/>
        </w:rPr>
        <w:t xml:space="preserve"> allege that the mining </w:t>
      </w:r>
      <w:r w:rsidR="0006276E" w:rsidRPr="0006276E">
        <w:rPr>
          <w:rFonts w:ascii="Arial" w:hAnsi="Arial" w:cs="Arial"/>
          <w:sz w:val="24"/>
          <w:szCs w:val="24"/>
        </w:rPr>
        <w:t>companies’</w:t>
      </w:r>
      <w:r w:rsidRPr="0006276E">
        <w:rPr>
          <w:rFonts w:ascii="Arial" w:hAnsi="Arial" w:cs="Arial"/>
          <w:sz w:val="24"/>
          <w:szCs w:val="24"/>
        </w:rPr>
        <w:t xml:space="preserve"> action</w:t>
      </w:r>
      <w:r w:rsidR="00547964">
        <w:rPr>
          <w:rFonts w:ascii="Arial" w:hAnsi="Arial" w:cs="Arial"/>
          <w:sz w:val="24"/>
          <w:szCs w:val="24"/>
        </w:rPr>
        <w:t>s</w:t>
      </w:r>
      <w:r w:rsidRPr="0006276E">
        <w:rPr>
          <w:rFonts w:ascii="Arial" w:hAnsi="Arial" w:cs="Arial"/>
          <w:sz w:val="24"/>
          <w:szCs w:val="24"/>
        </w:rPr>
        <w:t xml:space="preserve"> a</w:t>
      </w:r>
      <w:r w:rsidR="00547964">
        <w:rPr>
          <w:rFonts w:ascii="Arial" w:hAnsi="Arial" w:cs="Arial"/>
          <w:sz w:val="24"/>
          <w:szCs w:val="24"/>
        </w:rPr>
        <w:t>re</w:t>
      </w:r>
      <w:r w:rsidRPr="0006276E">
        <w:rPr>
          <w:rFonts w:ascii="Arial" w:hAnsi="Arial" w:cs="Arial"/>
          <w:sz w:val="24"/>
          <w:szCs w:val="24"/>
        </w:rPr>
        <w:t xml:space="preserve"> brought for the ulterior purpose</w:t>
      </w:r>
      <w:r w:rsidR="00547964">
        <w:rPr>
          <w:rFonts w:ascii="Arial" w:hAnsi="Arial" w:cs="Arial"/>
          <w:sz w:val="24"/>
          <w:szCs w:val="24"/>
        </w:rPr>
        <w:t xml:space="preserve"> of:</w:t>
      </w:r>
      <w:r w:rsidRPr="0006276E">
        <w:rPr>
          <w:rFonts w:ascii="Arial" w:hAnsi="Arial" w:cs="Arial"/>
          <w:sz w:val="24"/>
          <w:szCs w:val="24"/>
        </w:rPr>
        <w:t xml:space="preserve"> </w:t>
      </w:r>
    </w:p>
    <w:p w14:paraId="20B404EF" w14:textId="77777777" w:rsidR="00547964" w:rsidRDefault="00547964" w:rsidP="0006276E">
      <w:pPr>
        <w:spacing w:line="480" w:lineRule="auto"/>
        <w:jc w:val="both"/>
        <w:rPr>
          <w:rFonts w:ascii="Arial" w:hAnsi="Arial" w:cs="Arial"/>
          <w:sz w:val="24"/>
          <w:szCs w:val="24"/>
        </w:rPr>
      </w:pPr>
      <w:r>
        <w:rPr>
          <w:rFonts w:ascii="Arial" w:hAnsi="Arial" w:cs="Arial"/>
          <w:sz w:val="24"/>
          <w:szCs w:val="24"/>
        </w:rPr>
        <w:tab/>
      </w:r>
      <w:r w:rsidR="007B2594">
        <w:rPr>
          <w:rFonts w:ascii="Arial" w:hAnsi="Arial" w:cs="Arial"/>
          <w:sz w:val="24"/>
          <w:szCs w:val="24"/>
        </w:rPr>
        <w:t>7</w:t>
      </w:r>
      <w:r>
        <w:rPr>
          <w:rFonts w:ascii="Arial" w:hAnsi="Arial" w:cs="Arial"/>
          <w:sz w:val="24"/>
          <w:szCs w:val="24"/>
        </w:rPr>
        <w:t>.1</w:t>
      </w:r>
      <w:r>
        <w:rPr>
          <w:rFonts w:ascii="Arial" w:hAnsi="Arial" w:cs="Arial"/>
          <w:sz w:val="24"/>
          <w:szCs w:val="24"/>
        </w:rPr>
        <w:tab/>
      </w:r>
      <w:r w:rsidR="002F3A35" w:rsidRPr="0006276E">
        <w:rPr>
          <w:rFonts w:ascii="Arial" w:hAnsi="Arial" w:cs="Arial"/>
          <w:sz w:val="24"/>
          <w:szCs w:val="24"/>
        </w:rPr>
        <w:t xml:space="preserve">discouraging, </w:t>
      </w:r>
      <w:r>
        <w:rPr>
          <w:rFonts w:ascii="Arial" w:hAnsi="Arial" w:cs="Arial"/>
          <w:sz w:val="24"/>
          <w:szCs w:val="24"/>
        </w:rPr>
        <w:t>censoring</w:t>
      </w:r>
      <w:r w:rsidR="002F3A35" w:rsidRPr="0006276E">
        <w:rPr>
          <w:rFonts w:ascii="Arial" w:hAnsi="Arial" w:cs="Arial"/>
          <w:sz w:val="24"/>
          <w:szCs w:val="24"/>
        </w:rPr>
        <w:t xml:space="preserve">, intimidating and silencing the </w:t>
      </w:r>
      <w:r w:rsidR="00BD4731">
        <w:rPr>
          <w:rFonts w:ascii="Arial" w:hAnsi="Arial" w:cs="Arial"/>
          <w:sz w:val="24"/>
          <w:szCs w:val="24"/>
        </w:rPr>
        <w:t>defendant</w:t>
      </w:r>
      <w:r w:rsidR="002738EE">
        <w:rPr>
          <w:rFonts w:ascii="Arial" w:hAnsi="Arial" w:cs="Arial"/>
          <w:sz w:val="24"/>
          <w:szCs w:val="24"/>
        </w:rPr>
        <w:t>s</w:t>
      </w:r>
      <w:r w:rsidR="002F3A35" w:rsidRPr="0006276E">
        <w:rPr>
          <w:rFonts w:ascii="Arial" w:hAnsi="Arial" w:cs="Arial"/>
          <w:sz w:val="24"/>
          <w:szCs w:val="24"/>
        </w:rPr>
        <w:t xml:space="preserve"> in </w:t>
      </w:r>
      <w:r>
        <w:rPr>
          <w:rFonts w:ascii="Arial" w:hAnsi="Arial" w:cs="Arial"/>
          <w:sz w:val="24"/>
          <w:szCs w:val="24"/>
        </w:rPr>
        <w:tab/>
      </w:r>
      <w:r w:rsidR="00535405">
        <w:rPr>
          <w:rFonts w:ascii="Arial" w:hAnsi="Arial" w:cs="Arial"/>
          <w:sz w:val="24"/>
          <w:szCs w:val="24"/>
        </w:rPr>
        <w:tab/>
      </w:r>
      <w:r w:rsidR="002F3A35" w:rsidRPr="0006276E">
        <w:rPr>
          <w:rFonts w:ascii="Arial" w:hAnsi="Arial" w:cs="Arial"/>
          <w:sz w:val="24"/>
          <w:szCs w:val="24"/>
        </w:rPr>
        <w:t xml:space="preserve">relation to public criticism of the </w:t>
      </w:r>
      <w:r>
        <w:rPr>
          <w:rFonts w:ascii="Arial" w:hAnsi="Arial" w:cs="Arial"/>
          <w:sz w:val="24"/>
          <w:szCs w:val="24"/>
        </w:rPr>
        <w:t>mining companies</w:t>
      </w:r>
      <w:r w:rsidR="002F3A35" w:rsidRPr="0006276E">
        <w:rPr>
          <w:rFonts w:ascii="Arial" w:hAnsi="Arial" w:cs="Arial"/>
          <w:sz w:val="24"/>
          <w:szCs w:val="24"/>
        </w:rPr>
        <w:t xml:space="preserve">; and </w:t>
      </w:r>
    </w:p>
    <w:p w14:paraId="352E10F4" w14:textId="77777777" w:rsidR="00F70A86" w:rsidRPr="0036410D" w:rsidRDefault="00547964" w:rsidP="0006276E">
      <w:pPr>
        <w:spacing w:line="480" w:lineRule="auto"/>
        <w:jc w:val="both"/>
        <w:rPr>
          <w:rFonts w:ascii="Arial" w:hAnsi="Arial" w:cs="Arial"/>
          <w:sz w:val="24"/>
          <w:szCs w:val="24"/>
        </w:rPr>
      </w:pPr>
      <w:r>
        <w:rPr>
          <w:rFonts w:ascii="Arial" w:hAnsi="Arial" w:cs="Arial"/>
          <w:sz w:val="24"/>
          <w:szCs w:val="24"/>
        </w:rPr>
        <w:tab/>
      </w:r>
      <w:r w:rsidR="007B2594">
        <w:rPr>
          <w:rFonts w:ascii="Arial" w:hAnsi="Arial" w:cs="Arial"/>
          <w:sz w:val="24"/>
          <w:szCs w:val="24"/>
        </w:rPr>
        <w:t>7</w:t>
      </w:r>
      <w:r>
        <w:rPr>
          <w:rFonts w:ascii="Arial" w:hAnsi="Arial" w:cs="Arial"/>
          <w:sz w:val="24"/>
          <w:szCs w:val="24"/>
        </w:rPr>
        <w:t>.2</w:t>
      </w:r>
      <w:r>
        <w:rPr>
          <w:rFonts w:ascii="Arial" w:hAnsi="Arial" w:cs="Arial"/>
          <w:sz w:val="24"/>
          <w:szCs w:val="24"/>
        </w:rPr>
        <w:tab/>
      </w:r>
      <w:r w:rsidR="002F3A35" w:rsidRPr="0006276E">
        <w:rPr>
          <w:rFonts w:ascii="Arial" w:hAnsi="Arial" w:cs="Arial"/>
          <w:sz w:val="24"/>
          <w:szCs w:val="24"/>
        </w:rPr>
        <w:t xml:space="preserve">intimidating and silencing members of civil society, the public and the </w:t>
      </w:r>
      <w:r>
        <w:rPr>
          <w:rFonts w:ascii="Arial" w:hAnsi="Arial" w:cs="Arial"/>
          <w:sz w:val="24"/>
          <w:szCs w:val="24"/>
        </w:rPr>
        <w:tab/>
      </w:r>
      <w:r w:rsidR="00535405">
        <w:rPr>
          <w:rFonts w:ascii="Arial" w:hAnsi="Arial" w:cs="Arial"/>
          <w:sz w:val="24"/>
          <w:szCs w:val="24"/>
        </w:rPr>
        <w:tab/>
      </w:r>
      <w:r w:rsidR="002F3A35" w:rsidRPr="0006276E">
        <w:rPr>
          <w:rFonts w:ascii="Arial" w:hAnsi="Arial" w:cs="Arial"/>
          <w:sz w:val="24"/>
          <w:szCs w:val="24"/>
        </w:rPr>
        <w:t>media in r</w:t>
      </w:r>
      <w:r>
        <w:rPr>
          <w:rFonts w:ascii="Arial" w:hAnsi="Arial" w:cs="Arial"/>
          <w:sz w:val="24"/>
          <w:szCs w:val="24"/>
        </w:rPr>
        <w:t>elation to public criticism of the mining companies.</w:t>
      </w:r>
    </w:p>
    <w:p w14:paraId="434D2919" w14:textId="77777777" w:rsidR="002F3A35" w:rsidRPr="00B86685" w:rsidRDefault="002F3A35" w:rsidP="0006276E">
      <w:pPr>
        <w:spacing w:line="480" w:lineRule="auto"/>
        <w:jc w:val="both"/>
        <w:rPr>
          <w:rFonts w:ascii="Arial" w:hAnsi="Arial" w:cs="Arial"/>
          <w:b/>
          <w:i/>
          <w:sz w:val="24"/>
          <w:szCs w:val="24"/>
        </w:rPr>
      </w:pPr>
      <w:r w:rsidRPr="00B86685">
        <w:rPr>
          <w:rFonts w:ascii="Arial" w:hAnsi="Arial" w:cs="Arial"/>
          <w:b/>
          <w:i/>
          <w:sz w:val="24"/>
          <w:szCs w:val="24"/>
        </w:rPr>
        <w:t>Second Special Plea:</w:t>
      </w:r>
    </w:p>
    <w:p w14:paraId="022E705D" w14:textId="77777777" w:rsidR="002F3A35" w:rsidRPr="0006276E" w:rsidRDefault="002F3A35" w:rsidP="0006276E">
      <w:pPr>
        <w:spacing w:line="480" w:lineRule="auto"/>
        <w:jc w:val="both"/>
        <w:rPr>
          <w:rFonts w:ascii="Arial" w:hAnsi="Arial" w:cs="Arial"/>
          <w:sz w:val="24"/>
          <w:szCs w:val="24"/>
        </w:rPr>
      </w:pPr>
      <w:r w:rsidRPr="0006276E">
        <w:rPr>
          <w:rFonts w:ascii="Arial" w:hAnsi="Arial" w:cs="Arial"/>
          <w:sz w:val="24"/>
          <w:szCs w:val="24"/>
        </w:rPr>
        <w:t>[</w:t>
      </w:r>
      <w:r w:rsidR="007B2594">
        <w:rPr>
          <w:rFonts w:ascii="Arial" w:hAnsi="Arial" w:cs="Arial"/>
          <w:sz w:val="24"/>
          <w:szCs w:val="24"/>
        </w:rPr>
        <w:t>8</w:t>
      </w:r>
      <w:r w:rsidRPr="0006276E">
        <w:rPr>
          <w:rFonts w:ascii="Arial" w:hAnsi="Arial" w:cs="Arial"/>
          <w:sz w:val="24"/>
          <w:szCs w:val="24"/>
        </w:rPr>
        <w:t>]</w:t>
      </w:r>
      <w:r w:rsidRPr="0006276E">
        <w:rPr>
          <w:rFonts w:ascii="Arial" w:hAnsi="Arial" w:cs="Arial"/>
          <w:sz w:val="24"/>
          <w:szCs w:val="24"/>
        </w:rPr>
        <w:tab/>
        <w:t xml:space="preserve">The </w:t>
      </w:r>
      <w:r w:rsidR="00B67A62">
        <w:rPr>
          <w:rFonts w:ascii="Arial" w:hAnsi="Arial" w:cs="Arial"/>
          <w:sz w:val="24"/>
          <w:szCs w:val="24"/>
        </w:rPr>
        <w:t>d</w:t>
      </w:r>
      <w:r w:rsidR="00BD4731">
        <w:rPr>
          <w:rFonts w:ascii="Arial" w:hAnsi="Arial" w:cs="Arial"/>
          <w:sz w:val="24"/>
          <w:szCs w:val="24"/>
        </w:rPr>
        <w:t>efendant</w:t>
      </w:r>
      <w:r w:rsidR="002738EE">
        <w:rPr>
          <w:rFonts w:ascii="Arial" w:hAnsi="Arial" w:cs="Arial"/>
          <w:sz w:val="24"/>
          <w:szCs w:val="24"/>
        </w:rPr>
        <w:t>s</w:t>
      </w:r>
      <w:r w:rsidRPr="0006276E">
        <w:rPr>
          <w:rFonts w:ascii="Arial" w:hAnsi="Arial" w:cs="Arial"/>
          <w:sz w:val="24"/>
          <w:szCs w:val="24"/>
        </w:rPr>
        <w:t xml:space="preserve"> contend that the claims of the mining companies are bad in law because trading corporations, operating for profit, cannot sue for defamation without alleging that:</w:t>
      </w:r>
    </w:p>
    <w:p w14:paraId="4A994FD0" w14:textId="77777777" w:rsidR="002F3A35" w:rsidRPr="0006276E" w:rsidRDefault="002F3A35" w:rsidP="0006276E">
      <w:pPr>
        <w:spacing w:line="480" w:lineRule="auto"/>
        <w:jc w:val="both"/>
        <w:rPr>
          <w:rFonts w:ascii="Arial" w:hAnsi="Arial" w:cs="Arial"/>
          <w:sz w:val="24"/>
          <w:szCs w:val="24"/>
        </w:rPr>
      </w:pPr>
      <w:r w:rsidRPr="0006276E">
        <w:rPr>
          <w:rFonts w:ascii="Arial" w:hAnsi="Arial" w:cs="Arial"/>
          <w:sz w:val="24"/>
          <w:szCs w:val="24"/>
        </w:rPr>
        <w:tab/>
      </w:r>
      <w:r w:rsidR="007B2594">
        <w:rPr>
          <w:rFonts w:ascii="Arial" w:hAnsi="Arial" w:cs="Arial"/>
          <w:sz w:val="24"/>
          <w:szCs w:val="24"/>
        </w:rPr>
        <w:t>8</w:t>
      </w:r>
      <w:r w:rsidR="00913060">
        <w:rPr>
          <w:rFonts w:ascii="Arial" w:hAnsi="Arial" w:cs="Arial"/>
          <w:sz w:val="24"/>
          <w:szCs w:val="24"/>
        </w:rPr>
        <w:t>.1</w:t>
      </w:r>
      <w:r w:rsidR="00913060">
        <w:rPr>
          <w:rFonts w:ascii="Arial" w:hAnsi="Arial" w:cs="Arial"/>
          <w:sz w:val="24"/>
          <w:szCs w:val="24"/>
        </w:rPr>
        <w:tab/>
        <w:t>t</w:t>
      </w:r>
      <w:r w:rsidRPr="0006276E">
        <w:rPr>
          <w:rFonts w:ascii="Arial" w:hAnsi="Arial" w:cs="Arial"/>
          <w:sz w:val="24"/>
          <w:szCs w:val="24"/>
        </w:rPr>
        <w:t>he defamatory statements are false;</w:t>
      </w:r>
    </w:p>
    <w:p w14:paraId="7697C8F6" w14:textId="77777777" w:rsidR="002F3A35" w:rsidRPr="0006276E" w:rsidRDefault="0006276E" w:rsidP="0006276E">
      <w:pPr>
        <w:spacing w:line="480" w:lineRule="auto"/>
        <w:jc w:val="both"/>
        <w:rPr>
          <w:rFonts w:ascii="Arial" w:hAnsi="Arial" w:cs="Arial"/>
          <w:sz w:val="24"/>
          <w:szCs w:val="24"/>
        </w:rPr>
      </w:pPr>
      <w:r>
        <w:rPr>
          <w:rFonts w:ascii="Arial" w:hAnsi="Arial" w:cs="Arial"/>
          <w:sz w:val="24"/>
          <w:szCs w:val="24"/>
        </w:rPr>
        <w:tab/>
      </w:r>
      <w:r w:rsidR="007B2594">
        <w:rPr>
          <w:rFonts w:ascii="Arial" w:hAnsi="Arial" w:cs="Arial"/>
          <w:sz w:val="24"/>
          <w:szCs w:val="24"/>
        </w:rPr>
        <w:t>8</w:t>
      </w:r>
      <w:r w:rsidR="002F3A35" w:rsidRPr="0006276E">
        <w:rPr>
          <w:rFonts w:ascii="Arial" w:hAnsi="Arial" w:cs="Arial"/>
          <w:sz w:val="24"/>
          <w:szCs w:val="24"/>
        </w:rPr>
        <w:t>.2</w:t>
      </w:r>
      <w:r w:rsidR="002F3A35" w:rsidRPr="0006276E">
        <w:rPr>
          <w:rFonts w:ascii="Arial" w:hAnsi="Arial" w:cs="Arial"/>
          <w:sz w:val="24"/>
          <w:szCs w:val="24"/>
        </w:rPr>
        <w:tab/>
        <w:t>the false defamatory statements were wilfully made; and</w:t>
      </w:r>
    </w:p>
    <w:p w14:paraId="38057383" w14:textId="77777777" w:rsidR="00DC3D9A" w:rsidRDefault="002F3A35" w:rsidP="00310CEA">
      <w:pPr>
        <w:spacing w:line="480" w:lineRule="auto"/>
        <w:jc w:val="both"/>
        <w:rPr>
          <w:rFonts w:ascii="Arial" w:hAnsi="Arial" w:cs="Arial"/>
          <w:sz w:val="24"/>
          <w:szCs w:val="24"/>
        </w:rPr>
      </w:pPr>
      <w:r w:rsidRPr="0006276E">
        <w:rPr>
          <w:rFonts w:ascii="Arial" w:hAnsi="Arial" w:cs="Arial"/>
          <w:sz w:val="24"/>
          <w:szCs w:val="24"/>
        </w:rPr>
        <w:tab/>
      </w:r>
      <w:r w:rsidR="007B2594">
        <w:rPr>
          <w:rFonts w:ascii="Arial" w:hAnsi="Arial" w:cs="Arial"/>
          <w:sz w:val="24"/>
          <w:szCs w:val="24"/>
        </w:rPr>
        <w:t>8</w:t>
      </w:r>
      <w:r w:rsidRPr="0006276E">
        <w:rPr>
          <w:rFonts w:ascii="Arial" w:hAnsi="Arial" w:cs="Arial"/>
          <w:sz w:val="24"/>
          <w:szCs w:val="24"/>
        </w:rPr>
        <w:t>.3</w:t>
      </w:r>
      <w:r w:rsidRPr="0006276E">
        <w:rPr>
          <w:rFonts w:ascii="Arial" w:hAnsi="Arial" w:cs="Arial"/>
          <w:sz w:val="24"/>
          <w:szCs w:val="24"/>
        </w:rPr>
        <w:tab/>
        <w:t xml:space="preserve">the </w:t>
      </w:r>
      <w:r w:rsidR="00B67A62">
        <w:rPr>
          <w:rFonts w:ascii="Arial" w:hAnsi="Arial" w:cs="Arial"/>
          <w:sz w:val="24"/>
          <w:szCs w:val="24"/>
        </w:rPr>
        <w:t>pl</w:t>
      </w:r>
      <w:r w:rsidR="002738EE">
        <w:rPr>
          <w:rFonts w:ascii="Arial" w:hAnsi="Arial" w:cs="Arial"/>
          <w:sz w:val="24"/>
          <w:szCs w:val="24"/>
        </w:rPr>
        <w:t>aintiff</w:t>
      </w:r>
      <w:r w:rsidRPr="0006276E">
        <w:rPr>
          <w:rFonts w:ascii="Arial" w:hAnsi="Arial" w:cs="Arial"/>
          <w:sz w:val="24"/>
          <w:szCs w:val="24"/>
        </w:rPr>
        <w:t xml:space="preserve">s to suffer patrimonial loss arising from the defamatory </w:t>
      </w:r>
      <w:r w:rsidR="0006276E">
        <w:rPr>
          <w:rFonts w:ascii="Arial" w:hAnsi="Arial" w:cs="Arial"/>
          <w:sz w:val="24"/>
          <w:szCs w:val="24"/>
        </w:rPr>
        <w:tab/>
      </w:r>
      <w:r w:rsidR="0006276E">
        <w:rPr>
          <w:rFonts w:ascii="Arial" w:hAnsi="Arial" w:cs="Arial"/>
          <w:sz w:val="24"/>
          <w:szCs w:val="24"/>
        </w:rPr>
        <w:tab/>
      </w:r>
      <w:r w:rsidR="0006276E">
        <w:rPr>
          <w:rFonts w:ascii="Arial" w:hAnsi="Arial" w:cs="Arial"/>
          <w:sz w:val="24"/>
          <w:szCs w:val="24"/>
        </w:rPr>
        <w:tab/>
      </w:r>
      <w:r w:rsidRPr="0006276E">
        <w:rPr>
          <w:rFonts w:ascii="Arial" w:hAnsi="Arial" w:cs="Arial"/>
          <w:sz w:val="24"/>
          <w:szCs w:val="24"/>
        </w:rPr>
        <w:t>statements concerned.</w:t>
      </w:r>
    </w:p>
    <w:p w14:paraId="442D4307" w14:textId="77777777" w:rsidR="00310CEA" w:rsidRPr="0006276E" w:rsidRDefault="00310CEA" w:rsidP="00940E48">
      <w:pPr>
        <w:spacing w:after="0" w:line="240" w:lineRule="auto"/>
        <w:jc w:val="both"/>
        <w:rPr>
          <w:rFonts w:ascii="Arial" w:hAnsi="Arial" w:cs="Arial"/>
          <w:sz w:val="24"/>
          <w:szCs w:val="24"/>
        </w:rPr>
      </w:pPr>
    </w:p>
    <w:p w14:paraId="1771469A" w14:textId="77777777" w:rsidR="000631FF" w:rsidRDefault="007B2594" w:rsidP="0006276E">
      <w:pPr>
        <w:spacing w:line="480" w:lineRule="auto"/>
        <w:jc w:val="both"/>
        <w:rPr>
          <w:rFonts w:ascii="Arial" w:hAnsi="Arial" w:cs="Arial"/>
          <w:sz w:val="24"/>
          <w:szCs w:val="24"/>
        </w:rPr>
      </w:pPr>
      <w:r>
        <w:rPr>
          <w:rFonts w:ascii="Arial" w:hAnsi="Arial" w:cs="Arial"/>
          <w:sz w:val="24"/>
          <w:szCs w:val="24"/>
        </w:rPr>
        <w:t>[9</w:t>
      </w:r>
      <w:r w:rsidR="002F3A35" w:rsidRPr="0006276E">
        <w:rPr>
          <w:rFonts w:ascii="Arial" w:hAnsi="Arial" w:cs="Arial"/>
          <w:sz w:val="24"/>
          <w:szCs w:val="24"/>
        </w:rPr>
        <w:t>]</w:t>
      </w:r>
      <w:r w:rsidR="002F3A35" w:rsidRPr="0006276E">
        <w:rPr>
          <w:rFonts w:ascii="Arial" w:hAnsi="Arial" w:cs="Arial"/>
          <w:sz w:val="24"/>
          <w:szCs w:val="24"/>
        </w:rPr>
        <w:tab/>
        <w:t>It is common cause between the parties that in view of the a</w:t>
      </w:r>
      <w:r w:rsidR="005D7312">
        <w:rPr>
          <w:rFonts w:ascii="Arial" w:hAnsi="Arial" w:cs="Arial"/>
          <w:sz w:val="24"/>
          <w:szCs w:val="24"/>
        </w:rPr>
        <w:t>pproach adopted by the Supreme C</w:t>
      </w:r>
      <w:r w:rsidR="002F3A35" w:rsidRPr="0006276E">
        <w:rPr>
          <w:rFonts w:ascii="Arial" w:hAnsi="Arial" w:cs="Arial"/>
          <w:sz w:val="24"/>
          <w:szCs w:val="24"/>
        </w:rPr>
        <w:t xml:space="preserve">ourt of appeal in </w:t>
      </w:r>
      <w:r w:rsidR="002F3A35" w:rsidRPr="00307F9F">
        <w:rPr>
          <w:rFonts w:ascii="Arial" w:hAnsi="Arial" w:cs="Arial"/>
          <w:b/>
          <w:sz w:val="24"/>
          <w:szCs w:val="24"/>
        </w:rPr>
        <w:t>Media</w:t>
      </w:r>
      <w:r w:rsidR="00496F57">
        <w:rPr>
          <w:rFonts w:ascii="Arial" w:hAnsi="Arial" w:cs="Arial"/>
          <w:b/>
          <w:sz w:val="24"/>
          <w:szCs w:val="24"/>
        </w:rPr>
        <w:t xml:space="preserve"> </w:t>
      </w:r>
      <w:r w:rsidR="002F3A35" w:rsidRPr="00307F9F">
        <w:rPr>
          <w:rFonts w:ascii="Arial" w:hAnsi="Arial" w:cs="Arial"/>
          <w:b/>
          <w:sz w:val="24"/>
          <w:szCs w:val="24"/>
        </w:rPr>
        <w:t>24</w:t>
      </w:r>
      <w:r w:rsidR="005D7312">
        <w:rPr>
          <w:rFonts w:ascii="Arial" w:hAnsi="Arial" w:cs="Arial"/>
          <w:b/>
          <w:sz w:val="24"/>
          <w:szCs w:val="24"/>
        </w:rPr>
        <w:t xml:space="preserve"> Ltd and O</w:t>
      </w:r>
      <w:r w:rsidR="00417C83" w:rsidRPr="00307F9F">
        <w:rPr>
          <w:rFonts w:ascii="Arial" w:hAnsi="Arial" w:cs="Arial"/>
          <w:b/>
          <w:sz w:val="24"/>
          <w:szCs w:val="24"/>
        </w:rPr>
        <w:t>thers v SA Taxi Securitisation (Pty) L</w:t>
      </w:r>
      <w:r w:rsidR="002F3A35" w:rsidRPr="00307F9F">
        <w:rPr>
          <w:rFonts w:ascii="Arial" w:hAnsi="Arial" w:cs="Arial"/>
          <w:b/>
          <w:sz w:val="24"/>
          <w:szCs w:val="24"/>
        </w:rPr>
        <w:t>td</w:t>
      </w:r>
      <w:r w:rsidR="00F759D7">
        <w:rPr>
          <w:rStyle w:val="FootnoteReference"/>
          <w:rFonts w:ascii="Arial" w:hAnsi="Arial" w:cs="Arial"/>
          <w:b/>
          <w:sz w:val="24"/>
          <w:szCs w:val="24"/>
        </w:rPr>
        <w:footnoteReference w:id="4"/>
      </w:r>
      <w:r w:rsidR="002F3A35" w:rsidRPr="00307F9F">
        <w:rPr>
          <w:rFonts w:ascii="Arial" w:hAnsi="Arial" w:cs="Arial"/>
          <w:b/>
          <w:sz w:val="24"/>
          <w:szCs w:val="24"/>
        </w:rPr>
        <w:t xml:space="preserve"> </w:t>
      </w:r>
      <w:r w:rsidR="002F3A35" w:rsidRPr="0006276E">
        <w:rPr>
          <w:rFonts w:ascii="Arial" w:hAnsi="Arial" w:cs="Arial"/>
          <w:sz w:val="24"/>
          <w:szCs w:val="24"/>
        </w:rPr>
        <w:t xml:space="preserve">the second special plea cannot be sustained and must be upheld. The </w:t>
      </w:r>
      <w:r w:rsidR="00BD4731">
        <w:rPr>
          <w:rFonts w:ascii="Arial" w:hAnsi="Arial" w:cs="Arial"/>
          <w:sz w:val="24"/>
          <w:szCs w:val="24"/>
        </w:rPr>
        <w:t>defendant</w:t>
      </w:r>
      <w:r w:rsidR="00647627">
        <w:rPr>
          <w:rFonts w:ascii="Arial" w:hAnsi="Arial" w:cs="Arial"/>
          <w:sz w:val="24"/>
          <w:szCs w:val="24"/>
        </w:rPr>
        <w:t>s</w:t>
      </w:r>
      <w:r w:rsidR="002F3A35" w:rsidRPr="0006276E">
        <w:rPr>
          <w:rFonts w:ascii="Arial" w:hAnsi="Arial" w:cs="Arial"/>
          <w:sz w:val="24"/>
          <w:szCs w:val="24"/>
        </w:rPr>
        <w:t xml:space="preserve"> have conceded that the current law relating to the </w:t>
      </w:r>
      <w:r w:rsidR="0006276E" w:rsidRPr="0006276E">
        <w:rPr>
          <w:rFonts w:ascii="Arial" w:hAnsi="Arial" w:cs="Arial"/>
          <w:sz w:val="24"/>
          <w:szCs w:val="24"/>
        </w:rPr>
        <w:t>requirements</w:t>
      </w:r>
      <w:r w:rsidR="002F3A35" w:rsidRPr="0006276E">
        <w:rPr>
          <w:rFonts w:ascii="Arial" w:hAnsi="Arial" w:cs="Arial"/>
          <w:sz w:val="24"/>
          <w:szCs w:val="24"/>
        </w:rPr>
        <w:t xml:space="preserve"> of a juristic person to sue for </w:t>
      </w:r>
      <w:r w:rsidR="00A95F9B">
        <w:rPr>
          <w:rFonts w:ascii="Arial" w:hAnsi="Arial" w:cs="Arial"/>
          <w:sz w:val="24"/>
          <w:szCs w:val="24"/>
        </w:rPr>
        <w:t>defamation, does not support their</w:t>
      </w:r>
      <w:r w:rsidR="002F3A35" w:rsidRPr="0006276E">
        <w:rPr>
          <w:rFonts w:ascii="Arial" w:hAnsi="Arial" w:cs="Arial"/>
          <w:sz w:val="24"/>
          <w:szCs w:val="24"/>
        </w:rPr>
        <w:t xml:space="preserve"> </w:t>
      </w:r>
      <w:r w:rsidR="002F3A35" w:rsidRPr="0006276E">
        <w:rPr>
          <w:rFonts w:ascii="Arial" w:hAnsi="Arial" w:cs="Arial"/>
          <w:sz w:val="24"/>
          <w:szCs w:val="24"/>
        </w:rPr>
        <w:lastRenderedPageBreak/>
        <w:t xml:space="preserve">contentions. This court therefore only need to determine the exception to the first </w:t>
      </w:r>
      <w:r w:rsidR="00D00E14">
        <w:rPr>
          <w:rFonts w:ascii="Arial" w:hAnsi="Arial" w:cs="Arial"/>
          <w:sz w:val="24"/>
          <w:szCs w:val="24"/>
        </w:rPr>
        <w:t xml:space="preserve">set of </w:t>
      </w:r>
      <w:r w:rsidR="002F3A35" w:rsidRPr="0006276E">
        <w:rPr>
          <w:rFonts w:ascii="Arial" w:hAnsi="Arial" w:cs="Arial"/>
          <w:sz w:val="24"/>
          <w:szCs w:val="24"/>
        </w:rPr>
        <w:t>special plea</w:t>
      </w:r>
      <w:r w:rsidR="00D00E14">
        <w:rPr>
          <w:rFonts w:ascii="Arial" w:hAnsi="Arial" w:cs="Arial"/>
          <w:sz w:val="24"/>
          <w:szCs w:val="24"/>
        </w:rPr>
        <w:t>s</w:t>
      </w:r>
      <w:r w:rsidR="002F3A35" w:rsidRPr="0006276E">
        <w:rPr>
          <w:rFonts w:ascii="Arial" w:hAnsi="Arial" w:cs="Arial"/>
          <w:sz w:val="24"/>
          <w:szCs w:val="24"/>
        </w:rPr>
        <w:t>.</w:t>
      </w:r>
    </w:p>
    <w:p w14:paraId="6FAE3A5D" w14:textId="77777777" w:rsidR="00310CEA" w:rsidRPr="0006276E" w:rsidRDefault="00310CEA" w:rsidP="00310CEA">
      <w:pPr>
        <w:spacing w:after="0" w:line="240" w:lineRule="auto"/>
        <w:jc w:val="both"/>
        <w:rPr>
          <w:rFonts w:ascii="Arial" w:hAnsi="Arial" w:cs="Arial"/>
          <w:sz w:val="24"/>
          <w:szCs w:val="24"/>
        </w:rPr>
      </w:pPr>
    </w:p>
    <w:p w14:paraId="0A01F960" w14:textId="77777777" w:rsidR="002F3A35" w:rsidRDefault="0020564A" w:rsidP="0006276E">
      <w:pPr>
        <w:spacing w:line="480" w:lineRule="auto"/>
        <w:jc w:val="both"/>
        <w:rPr>
          <w:rFonts w:ascii="Arial" w:hAnsi="Arial" w:cs="Arial"/>
          <w:b/>
          <w:sz w:val="24"/>
          <w:szCs w:val="24"/>
          <w:u w:val="single"/>
        </w:rPr>
      </w:pPr>
      <w:r>
        <w:rPr>
          <w:rFonts w:ascii="Arial" w:hAnsi="Arial" w:cs="Arial"/>
          <w:b/>
          <w:sz w:val="24"/>
          <w:szCs w:val="24"/>
          <w:u w:val="single"/>
        </w:rPr>
        <w:t>S</w:t>
      </w:r>
      <w:r w:rsidR="003300EA" w:rsidRPr="00F07B7C">
        <w:rPr>
          <w:rFonts w:ascii="Arial" w:hAnsi="Arial" w:cs="Arial"/>
          <w:b/>
          <w:sz w:val="24"/>
          <w:szCs w:val="24"/>
          <w:u w:val="single"/>
        </w:rPr>
        <w:t>ubmissions</w:t>
      </w:r>
      <w:r w:rsidR="00E9231E">
        <w:rPr>
          <w:rFonts w:ascii="Arial" w:hAnsi="Arial" w:cs="Arial"/>
          <w:b/>
          <w:sz w:val="24"/>
          <w:szCs w:val="24"/>
          <w:u w:val="single"/>
        </w:rPr>
        <w:t xml:space="preserve"> made on behalf of Plaintiffs and Defendant</w:t>
      </w:r>
      <w:r w:rsidR="000631FF">
        <w:rPr>
          <w:rFonts w:ascii="Arial" w:hAnsi="Arial" w:cs="Arial"/>
          <w:b/>
          <w:sz w:val="24"/>
          <w:szCs w:val="24"/>
          <w:u w:val="single"/>
        </w:rPr>
        <w:t>s</w:t>
      </w:r>
    </w:p>
    <w:p w14:paraId="08C88775" w14:textId="77777777" w:rsidR="00310CEA" w:rsidRPr="00F07B7C" w:rsidRDefault="00310CEA" w:rsidP="00310CEA">
      <w:pPr>
        <w:spacing w:after="0" w:line="240" w:lineRule="auto"/>
        <w:jc w:val="both"/>
        <w:rPr>
          <w:rFonts w:ascii="Arial" w:hAnsi="Arial" w:cs="Arial"/>
          <w:b/>
          <w:sz w:val="24"/>
          <w:szCs w:val="24"/>
          <w:u w:val="single"/>
        </w:rPr>
      </w:pPr>
    </w:p>
    <w:p w14:paraId="10015418" w14:textId="77777777" w:rsidR="00FC2693" w:rsidRDefault="007B2594" w:rsidP="0006276E">
      <w:pPr>
        <w:spacing w:line="480" w:lineRule="auto"/>
        <w:jc w:val="both"/>
        <w:rPr>
          <w:rFonts w:ascii="Arial" w:hAnsi="Arial" w:cs="Arial"/>
          <w:sz w:val="24"/>
          <w:szCs w:val="24"/>
        </w:rPr>
      </w:pPr>
      <w:r>
        <w:rPr>
          <w:rFonts w:ascii="Arial" w:hAnsi="Arial" w:cs="Arial"/>
          <w:sz w:val="24"/>
          <w:szCs w:val="24"/>
        </w:rPr>
        <w:t>[10</w:t>
      </w:r>
      <w:r w:rsidR="00583D35">
        <w:rPr>
          <w:rFonts w:ascii="Arial" w:hAnsi="Arial" w:cs="Arial"/>
          <w:sz w:val="24"/>
          <w:szCs w:val="24"/>
        </w:rPr>
        <w:t>]</w:t>
      </w:r>
      <w:r w:rsidR="00583D35">
        <w:rPr>
          <w:rFonts w:ascii="Arial" w:hAnsi="Arial" w:cs="Arial"/>
          <w:sz w:val="24"/>
          <w:szCs w:val="24"/>
        </w:rPr>
        <w:tab/>
      </w:r>
      <w:r w:rsidR="002738EE">
        <w:rPr>
          <w:rFonts w:ascii="Arial" w:hAnsi="Arial" w:cs="Arial"/>
          <w:sz w:val="24"/>
          <w:szCs w:val="24"/>
        </w:rPr>
        <w:t>Plaintiff</w:t>
      </w:r>
      <w:r w:rsidR="00583D35">
        <w:rPr>
          <w:rFonts w:ascii="Arial" w:hAnsi="Arial" w:cs="Arial"/>
          <w:sz w:val="24"/>
          <w:szCs w:val="24"/>
        </w:rPr>
        <w:t>s argue</w:t>
      </w:r>
      <w:r w:rsidR="002F3A35" w:rsidRPr="0006276E">
        <w:rPr>
          <w:rFonts w:ascii="Arial" w:hAnsi="Arial" w:cs="Arial"/>
          <w:sz w:val="24"/>
          <w:szCs w:val="24"/>
        </w:rPr>
        <w:t xml:space="preserve"> that the </w:t>
      </w:r>
      <w:r w:rsidR="00BD4731">
        <w:rPr>
          <w:rFonts w:ascii="Arial" w:hAnsi="Arial" w:cs="Arial"/>
          <w:sz w:val="24"/>
          <w:szCs w:val="24"/>
        </w:rPr>
        <w:t>defendant</w:t>
      </w:r>
      <w:r w:rsidR="00A95F9B">
        <w:rPr>
          <w:rFonts w:ascii="Arial" w:hAnsi="Arial" w:cs="Arial"/>
          <w:sz w:val="24"/>
          <w:szCs w:val="24"/>
        </w:rPr>
        <w:t>s</w:t>
      </w:r>
      <w:r w:rsidR="00362870">
        <w:rPr>
          <w:rFonts w:ascii="Arial" w:hAnsi="Arial" w:cs="Arial"/>
          <w:sz w:val="24"/>
          <w:szCs w:val="24"/>
        </w:rPr>
        <w:t xml:space="preserve"> contend for</w:t>
      </w:r>
      <w:r w:rsidR="005D7312">
        <w:rPr>
          <w:rFonts w:ascii="Arial" w:hAnsi="Arial" w:cs="Arial"/>
          <w:sz w:val="24"/>
          <w:szCs w:val="24"/>
        </w:rPr>
        <w:t xml:space="preserve"> an</w:t>
      </w:r>
      <w:r w:rsidR="002F3A35" w:rsidRPr="0006276E">
        <w:rPr>
          <w:rFonts w:ascii="Arial" w:hAnsi="Arial" w:cs="Arial"/>
          <w:sz w:val="24"/>
          <w:szCs w:val="24"/>
        </w:rPr>
        <w:t xml:space="preserve"> abuse of </w:t>
      </w:r>
      <w:r w:rsidR="00362870">
        <w:rPr>
          <w:rFonts w:ascii="Arial" w:hAnsi="Arial" w:cs="Arial"/>
          <w:sz w:val="24"/>
          <w:szCs w:val="24"/>
        </w:rPr>
        <w:t>the process, thereby relying entirely</w:t>
      </w:r>
      <w:r w:rsidR="002960E3">
        <w:rPr>
          <w:rFonts w:ascii="Arial" w:hAnsi="Arial" w:cs="Arial"/>
          <w:sz w:val="24"/>
          <w:szCs w:val="24"/>
        </w:rPr>
        <w:t xml:space="preserve"> and impermissibly on</w:t>
      </w:r>
      <w:r w:rsidR="002F3A35" w:rsidRPr="0006276E">
        <w:rPr>
          <w:rFonts w:ascii="Arial" w:hAnsi="Arial" w:cs="Arial"/>
          <w:sz w:val="24"/>
          <w:szCs w:val="24"/>
        </w:rPr>
        <w:t xml:space="preserve"> the </w:t>
      </w:r>
      <w:r w:rsidR="002738EE">
        <w:rPr>
          <w:rFonts w:ascii="Arial" w:hAnsi="Arial" w:cs="Arial"/>
          <w:sz w:val="24"/>
          <w:szCs w:val="24"/>
        </w:rPr>
        <w:t>plaintiff</w:t>
      </w:r>
      <w:r w:rsidR="002F3A35" w:rsidRPr="0006276E">
        <w:rPr>
          <w:rFonts w:ascii="Arial" w:hAnsi="Arial" w:cs="Arial"/>
          <w:sz w:val="24"/>
          <w:szCs w:val="24"/>
        </w:rPr>
        <w:t>’s motives for bringing these action</w:t>
      </w:r>
      <w:r w:rsidR="00D00E14">
        <w:rPr>
          <w:rFonts w:ascii="Arial" w:hAnsi="Arial" w:cs="Arial"/>
          <w:sz w:val="24"/>
          <w:szCs w:val="24"/>
        </w:rPr>
        <w:t>s</w:t>
      </w:r>
      <w:r w:rsidR="002F3A35" w:rsidRPr="0006276E">
        <w:rPr>
          <w:rFonts w:ascii="Arial" w:hAnsi="Arial" w:cs="Arial"/>
          <w:sz w:val="24"/>
          <w:szCs w:val="24"/>
        </w:rPr>
        <w:t>.</w:t>
      </w:r>
      <w:r w:rsidR="00D00E14">
        <w:rPr>
          <w:rFonts w:ascii="Arial" w:hAnsi="Arial" w:cs="Arial"/>
          <w:sz w:val="24"/>
          <w:szCs w:val="24"/>
        </w:rPr>
        <w:t xml:space="preserve"> </w:t>
      </w:r>
      <w:r w:rsidR="002F3A35" w:rsidRPr="0006276E">
        <w:rPr>
          <w:rFonts w:ascii="Arial" w:hAnsi="Arial" w:cs="Arial"/>
          <w:sz w:val="24"/>
          <w:szCs w:val="24"/>
        </w:rPr>
        <w:t xml:space="preserve"> According to the </w:t>
      </w:r>
      <w:r w:rsidR="00B67A62">
        <w:rPr>
          <w:rFonts w:ascii="Arial" w:hAnsi="Arial" w:cs="Arial"/>
          <w:sz w:val="24"/>
          <w:szCs w:val="24"/>
        </w:rPr>
        <w:t>p</w:t>
      </w:r>
      <w:r w:rsidR="002738EE">
        <w:rPr>
          <w:rFonts w:ascii="Arial" w:hAnsi="Arial" w:cs="Arial"/>
          <w:sz w:val="24"/>
          <w:szCs w:val="24"/>
        </w:rPr>
        <w:t>laintiff</w:t>
      </w:r>
      <w:r w:rsidR="002F3A35" w:rsidRPr="0006276E">
        <w:rPr>
          <w:rFonts w:ascii="Arial" w:hAnsi="Arial" w:cs="Arial"/>
          <w:sz w:val="24"/>
          <w:szCs w:val="24"/>
        </w:rPr>
        <w:t>s</w:t>
      </w:r>
      <w:r w:rsidR="00AF2387">
        <w:rPr>
          <w:rFonts w:ascii="Arial" w:hAnsi="Arial" w:cs="Arial"/>
          <w:sz w:val="24"/>
          <w:szCs w:val="24"/>
        </w:rPr>
        <w:t>,</w:t>
      </w:r>
      <w:r w:rsidR="002F3A35" w:rsidRPr="0006276E">
        <w:rPr>
          <w:rFonts w:ascii="Arial" w:hAnsi="Arial" w:cs="Arial"/>
          <w:sz w:val="24"/>
          <w:szCs w:val="24"/>
        </w:rPr>
        <w:t xml:space="preserve"> such reliance on motive, to the exclusion</w:t>
      </w:r>
      <w:r w:rsidR="00FF1E26">
        <w:rPr>
          <w:rFonts w:ascii="Arial" w:hAnsi="Arial" w:cs="Arial"/>
          <w:sz w:val="24"/>
          <w:szCs w:val="24"/>
        </w:rPr>
        <w:t xml:space="preserve"> of the merits of the </w:t>
      </w:r>
      <w:r w:rsidR="002738EE">
        <w:rPr>
          <w:rFonts w:ascii="Arial" w:hAnsi="Arial" w:cs="Arial"/>
          <w:sz w:val="24"/>
          <w:szCs w:val="24"/>
        </w:rPr>
        <w:t>plaintiff</w:t>
      </w:r>
      <w:r w:rsidR="00632BB0">
        <w:rPr>
          <w:rFonts w:ascii="Arial" w:hAnsi="Arial" w:cs="Arial"/>
          <w:sz w:val="24"/>
          <w:szCs w:val="24"/>
        </w:rPr>
        <w:t>s</w:t>
      </w:r>
      <w:r w:rsidR="00611B69">
        <w:rPr>
          <w:rFonts w:ascii="Arial" w:hAnsi="Arial" w:cs="Arial"/>
          <w:sz w:val="24"/>
          <w:szCs w:val="24"/>
        </w:rPr>
        <w:t>’</w:t>
      </w:r>
      <w:r w:rsidR="00632BB0">
        <w:rPr>
          <w:rFonts w:ascii="Arial" w:hAnsi="Arial" w:cs="Arial"/>
          <w:sz w:val="24"/>
          <w:szCs w:val="24"/>
        </w:rPr>
        <w:t xml:space="preserve"> claims</w:t>
      </w:r>
      <w:r w:rsidR="002F3A35" w:rsidRPr="0006276E">
        <w:rPr>
          <w:rFonts w:ascii="Arial" w:hAnsi="Arial" w:cs="Arial"/>
          <w:sz w:val="24"/>
          <w:szCs w:val="24"/>
        </w:rPr>
        <w:t>, is legally unsound.</w:t>
      </w:r>
      <w:r w:rsidR="00D76501">
        <w:rPr>
          <w:rFonts w:ascii="Arial" w:hAnsi="Arial" w:cs="Arial"/>
          <w:sz w:val="24"/>
          <w:szCs w:val="24"/>
        </w:rPr>
        <w:t xml:space="preserve"> Not only is it incompetent for the </w:t>
      </w:r>
      <w:r w:rsidR="00BD4731">
        <w:rPr>
          <w:rFonts w:ascii="Arial" w:hAnsi="Arial" w:cs="Arial"/>
          <w:sz w:val="24"/>
          <w:szCs w:val="24"/>
        </w:rPr>
        <w:t>defendant</w:t>
      </w:r>
      <w:r w:rsidR="002738EE">
        <w:rPr>
          <w:rFonts w:ascii="Arial" w:hAnsi="Arial" w:cs="Arial"/>
          <w:sz w:val="24"/>
          <w:szCs w:val="24"/>
        </w:rPr>
        <w:t>s</w:t>
      </w:r>
      <w:r w:rsidR="00D76501">
        <w:rPr>
          <w:rFonts w:ascii="Arial" w:hAnsi="Arial" w:cs="Arial"/>
          <w:sz w:val="24"/>
          <w:szCs w:val="24"/>
        </w:rPr>
        <w:t xml:space="preserve"> to seek to divorce the merits of the </w:t>
      </w:r>
      <w:r w:rsidR="002738EE">
        <w:rPr>
          <w:rFonts w:ascii="Arial" w:hAnsi="Arial" w:cs="Arial"/>
          <w:sz w:val="24"/>
          <w:szCs w:val="24"/>
        </w:rPr>
        <w:t>plaintiff</w:t>
      </w:r>
      <w:r w:rsidR="00D76501">
        <w:rPr>
          <w:rFonts w:ascii="Arial" w:hAnsi="Arial" w:cs="Arial"/>
          <w:sz w:val="24"/>
          <w:szCs w:val="24"/>
        </w:rPr>
        <w:t xml:space="preserve">s’ claims from their motives for bringing the actions, but the </w:t>
      </w:r>
      <w:r w:rsidR="002738EE">
        <w:rPr>
          <w:rFonts w:ascii="Arial" w:hAnsi="Arial" w:cs="Arial"/>
          <w:sz w:val="24"/>
          <w:szCs w:val="24"/>
        </w:rPr>
        <w:t>plaintiff</w:t>
      </w:r>
      <w:r w:rsidR="00D76501">
        <w:rPr>
          <w:rFonts w:ascii="Arial" w:hAnsi="Arial" w:cs="Arial"/>
          <w:sz w:val="24"/>
          <w:szCs w:val="24"/>
        </w:rPr>
        <w:t>s motives are irrelevant</w:t>
      </w:r>
      <w:r w:rsidR="002960E3">
        <w:rPr>
          <w:rFonts w:ascii="Arial" w:hAnsi="Arial" w:cs="Arial"/>
          <w:sz w:val="24"/>
          <w:szCs w:val="24"/>
        </w:rPr>
        <w:t xml:space="preserve"> to the abuse of process</w:t>
      </w:r>
      <w:r w:rsidR="003E64F7">
        <w:rPr>
          <w:rFonts w:ascii="Arial" w:hAnsi="Arial" w:cs="Arial"/>
          <w:sz w:val="24"/>
          <w:szCs w:val="24"/>
        </w:rPr>
        <w:t xml:space="preserve"> </w:t>
      </w:r>
      <w:r w:rsidR="00D76501">
        <w:rPr>
          <w:rFonts w:ascii="Arial" w:hAnsi="Arial" w:cs="Arial"/>
          <w:sz w:val="24"/>
          <w:szCs w:val="24"/>
        </w:rPr>
        <w:t>debate.</w:t>
      </w:r>
      <w:r w:rsidR="002F3A35" w:rsidRPr="0006276E">
        <w:rPr>
          <w:rFonts w:ascii="Arial" w:hAnsi="Arial" w:cs="Arial"/>
          <w:sz w:val="24"/>
          <w:szCs w:val="24"/>
        </w:rPr>
        <w:t xml:space="preserve"> </w:t>
      </w:r>
      <w:r w:rsidR="002B6893">
        <w:rPr>
          <w:rFonts w:ascii="Arial" w:hAnsi="Arial" w:cs="Arial"/>
          <w:sz w:val="24"/>
          <w:szCs w:val="24"/>
        </w:rPr>
        <w:t xml:space="preserve"> </w:t>
      </w:r>
      <w:r w:rsidR="002F3A35" w:rsidRPr="0006276E">
        <w:rPr>
          <w:rFonts w:ascii="Arial" w:hAnsi="Arial" w:cs="Arial"/>
          <w:sz w:val="24"/>
          <w:szCs w:val="24"/>
        </w:rPr>
        <w:t xml:space="preserve">Furthermore, the </w:t>
      </w:r>
      <w:r w:rsidR="00BD4731">
        <w:rPr>
          <w:rFonts w:ascii="Arial" w:hAnsi="Arial" w:cs="Arial"/>
          <w:sz w:val="24"/>
          <w:szCs w:val="24"/>
        </w:rPr>
        <w:t>defendant</w:t>
      </w:r>
      <w:r w:rsidR="002738EE">
        <w:rPr>
          <w:rFonts w:ascii="Arial" w:hAnsi="Arial" w:cs="Arial"/>
          <w:sz w:val="24"/>
          <w:szCs w:val="24"/>
        </w:rPr>
        <w:t>s</w:t>
      </w:r>
      <w:r w:rsidR="003E64F7">
        <w:rPr>
          <w:rFonts w:ascii="Arial" w:hAnsi="Arial" w:cs="Arial"/>
          <w:sz w:val="24"/>
          <w:szCs w:val="24"/>
        </w:rPr>
        <w:t xml:space="preserve"> actions amount to a </w:t>
      </w:r>
      <w:r w:rsidR="001B53A1">
        <w:rPr>
          <w:rFonts w:ascii="Arial" w:hAnsi="Arial" w:cs="Arial"/>
          <w:sz w:val="24"/>
          <w:szCs w:val="24"/>
        </w:rPr>
        <w:t xml:space="preserve">request that </w:t>
      </w:r>
      <w:r w:rsidR="00C712C2">
        <w:rPr>
          <w:rFonts w:ascii="Arial" w:hAnsi="Arial" w:cs="Arial"/>
          <w:sz w:val="24"/>
          <w:szCs w:val="24"/>
        </w:rPr>
        <w:t xml:space="preserve">the </w:t>
      </w:r>
      <w:r w:rsidR="002F3A35" w:rsidRPr="0006276E">
        <w:rPr>
          <w:rFonts w:ascii="Arial" w:hAnsi="Arial" w:cs="Arial"/>
          <w:sz w:val="24"/>
          <w:szCs w:val="24"/>
        </w:rPr>
        <w:t>court</w:t>
      </w:r>
      <w:r w:rsidR="001B53A1">
        <w:rPr>
          <w:rFonts w:ascii="Arial" w:hAnsi="Arial" w:cs="Arial"/>
          <w:sz w:val="24"/>
          <w:szCs w:val="24"/>
        </w:rPr>
        <w:t xml:space="preserve"> </w:t>
      </w:r>
      <w:r w:rsidR="002F3A35" w:rsidRPr="0006276E">
        <w:rPr>
          <w:rFonts w:ascii="Arial" w:hAnsi="Arial" w:cs="Arial"/>
          <w:sz w:val="24"/>
          <w:szCs w:val="24"/>
        </w:rPr>
        <w:t>take</w:t>
      </w:r>
      <w:r w:rsidR="00C712C2">
        <w:rPr>
          <w:rFonts w:ascii="Arial" w:hAnsi="Arial" w:cs="Arial"/>
          <w:sz w:val="24"/>
          <w:szCs w:val="24"/>
        </w:rPr>
        <w:t>s</w:t>
      </w:r>
      <w:r w:rsidR="002F3A35" w:rsidRPr="0006276E">
        <w:rPr>
          <w:rFonts w:ascii="Arial" w:hAnsi="Arial" w:cs="Arial"/>
          <w:sz w:val="24"/>
          <w:szCs w:val="24"/>
        </w:rPr>
        <w:t xml:space="preserve"> </w:t>
      </w:r>
      <w:r w:rsidR="00C712C2">
        <w:rPr>
          <w:rFonts w:ascii="Arial" w:hAnsi="Arial" w:cs="Arial"/>
          <w:sz w:val="24"/>
          <w:szCs w:val="24"/>
        </w:rPr>
        <w:t>an</w:t>
      </w:r>
      <w:r w:rsidR="001B53A1">
        <w:rPr>
          <w:rFonts w:ascii="Arial" w:hAnsi="Arial" w:cs="Arial"/>
          <w:sz w:val="24"/>
          <w:szCs w:val="24"/>
        </w:rPr>
        <w:t xml:space="preserve"> unprecedented and extraordinary step of shutting its doors </w:t>
      </w:r>
      <w:r w:rsidR="002F3A35" w:rsidRPr="0006276E">
        <w:rPr>
          <w:rFonts w:ascii="Arial" w:hAnsi="Arial" w:cs="Arial"/>
          <w:sz w:val="24"/>
          <w:szCs w:val="24"/>
        </w:rPr>
        <w:t xml:space="preserve">on the </w:t>
      </w:r>
      <w:r w:rsidR="002738EE">
        <w:rPr>
          <w:rFonts w:ascii="Arial" w:hAnsi="Arial" w:cs="Arial"/>
          <w:sz w:val="24"/>
          <w:szCs w:val="24"/>
        </w:rPr>
        <w:t>plaintiff</w:t>
      </w:r>
      <w:r w:rsidR="002F3A35" w:rsidRPr="0006276E">
        <w:rPr>
          <w:rFonts w:ascii="Arial" w:hAnsi="Arial" w:cs="Arial"/>
          <w:sz w:val="24"/>
          <w:szCs w:val="24"/>
        </w:rPr>
        <w:t>s, th</w:t>
      </w:r>
      <w:r w:rsidR="00E36C6B">
        <w:rPr>
          <w:rFonts w:ascii="Arial" w:hAnsi="Arial" w:cs="Arial"/>
          <w:sz w:val="24"/>
          <w:szCs w:val="24"/>
        </w:rPr>
        <w:t>ereby denying them their right to access</w:t>
      </w:r>
      <w:r w:rsidR="001B53A1">
        <w:rPr>
          <w:rFonts w:ascii="Arial" w:hAnsi="Arial" w:cs="Arial"/>
          <w:sz w:val="24"/>
          <w:szCs w:val="24"/>
        </w:rPr>
        <w:t xml:space="preserve"> justice </w:t>
      </w:r>
      <w:r w:rsidR="00E62832">
        <w:rPr>
          <w:rFonts w:ascii="Arial" w:hAnsi="Arial" w:cs="Arial"/>
          <w:sz w:val="24"/>
          <w:szCs w:val="24"/>
        </w:rPr>
        <w:t>in terms of section 34</w:t>
      </w:r>
      <w:r w:rsidR="005466A1">
        <w:rPr>
          <w:rStyle w:val="FootnoteReference"/>
          <w:rFonts w:ascii="Arial" w:hAnsi="Arial" w:cs="Arial"/>
          <w:sz w:val="24"/>
          <w:szCs w:val="24"/>
        </w:rPr>
        <w:footnoteReference w:id="5"/>
      </w:r>
      <w:r w:rsidR="00E62832">
        <w:rPr>
          <w:rFonts w:ascii="Arial" w:hAnsi="Arial" w:cs="Arial"/>
          <w:sz w:val="24"/>
          <w:szCs w:val="24"/>
        </w:rPr>
        <w:t xml:space="preserve"> of the</w:t>
      </w:r>
      <w:r w:rsidR="002F3A35" w:rsidRPr="0006276E">
        <w:rPr>
          <w:rFonts w:ascii="Arial" w:hAnsi="Arial" w:cs="Arial"/>
          <w:sz w:val="24"/>
          <w:szCs w:val="24"/>
        </w:rPr>
        <w:t xml:space="preserve"> Constit</w:t>
      </w:r>
      <w:r w:rsidR="00E36C6B">
        <w:rPr>
          <w:rFonts w:ascii="Arial" w:hAnsi="Arial" w:cs="Arial"/>
          <w:sz w:val="24"/>
          <w:szCs w:val="24"/>
        </w:rPr>
        <w:t>ution,</w:t>
      </w:r>
      <w:r w:rsidR="002F3A35" w:rsidRPr="0006276E">
        <w:rPr>
          <w:rFonts w:ascii="Arial" w:hAnsi="Arial" w:cs="Arial"/>
          <w:sz w:val="24"/>
          <w:szCs w:val="24"/>
        </w:rPr>
        <w:t xml:space="preserve"> without having regard to the merits of </w:t>
      </w:r>
      <w:r w:rsidR="002738EE">
        <w:rPr>
          <w:rFonts w:ascii="Arial" w:hAnsi="Arial" w:cs="Arial"/>
          <w:sz w:val="24"/>
          <w:szCs w:val="24"/>
        </w:rPr>
        <w:t>plaintiff</w:t>
      </w:r>
      <w:r w:rsidR="00DC3D9A">
        <w:rPr>
          <w:rFonts w:ascii="Arial" w:hAnsi="Arial" w:cs="Arial"/>
          <w:sz w:val="24"/>
          <w:szCs w:val="24"/>
        </w:rPr>
        <w:t xml:space="preserve">s’ </w:t>
      </w:r>
      <w:r w:rsidR="002F3A35" w:rsidRPr="0006276E">
        <w:rPr>
          <w:rFonts w:ascii="Arial" w:hAnsi="Arial" w:cs="Arial"/>
          <w:sz w:val="24"/>
          <w:szCs w:val="24"/>
        </w:rPr>
        <w:t>claims.</w:t>
      </w:r>
    </w:p>
    <w:p w14:paraId="1E03E63A" w14:textId="77777777" w:rsidR="00FE262E" w:rsidRPr="0006276E" w:rsidRDefault="00FE262E" w:rsidP="00AF1E2F">
      <w:pPr>
        <w:spacing w:after="0" w:line="240" w:lineRule="auto"/>
        <w:jc w:val="both"/>
        <w:rPr>
          <w:rFonts w:ascii="Arial" w:hAnsi="Arial" w:cs="Arial"/>
          <w:sz w:val="24"/>
          <w:szCs w:val="24"/>
        </w:rPr>
      </w:pPr>
    </w:p>
    <w:p w14:paraId="16A3F9D1" w14:textId="77777777" w:rsidR="002F3A35" w:rsidRDefault="007B2594" w:rsidP="0006276E">
      <w:pPr>
        <w:spacing w:line="480" w:lineRule="auto"/>
        <w:jc w:val="both"/>
        <w:rPr>
          <w:rFonts w:ascii="Arial" w:hAnsi="Arial" w:cs="Arial"/>
          <w:sz w:val="24"/>
          <w:szCs w:val="24"/>
        </w:rPr>
      </w:pPr>
      <w:r>
        <w:rPr>
          <w:rFonts w:ascii="Arial" w:hAnsi="Arial" w:cs="Arial"/>
          <w:sz w:val="24"/>
          <w:szCs w:val="24"/>
        </w:rPr>
        <w:t>[11</w:t>
      </w:r>
      <w:r w:rsidR="002F3A35" w:rsidRPr="0006276E">
        <w:rPr>
          <w:rFonts w:ascii="Arial" w:hAnsi="Arial" w:cs="Arial"/>
          <w:sz w:val="24"/>
          <w:szCs w:val="24"/>
        </w:rPr>
        <w:t>]</w:t>
      </w:r>
      <w:r w:rsidR="002F3A35" w:rsidRPr="0006276E">
        <w:rPr>
          <w:rFonts w:ascii="Arial" w:hAnsi="Arial" w:cs="Arial"/>
          <w:sz w:val="24"/>
          <w:szCs w:val="24"/>
        </w:rPr>
        <w:tab/>
      </w:r>
      <w:r w:rsidR="002738EE">
        <w:rPr>
          <w:rFonts w:ascii="Arial" w:hAnsi="Arial" w:cs="Arial"/>
          <w:sz w:val="24"/>
          <w:szCs w:val="24"/>
        </w:rPr>
        <w:t>Plaintiff</w:t>
      </w:r>
      <w:r w:rsidR="002F3A35" w:rsidRPr="0006276E">
        <w:rPr>
          <w:rFonts w:ascii="Arial" w:hAnsi="Arial" w:cs="Arial"/>
          <w:sz w:val="24"/>
          <w:szCs w:val="24"/>
        </w:rPr>
        <w:t xml:space="preserve">s contend that South African law limits a </w:t>
      </w:r>
      <w:r w:rsidR="00BD4731">
        <w:rPr>
          <w:rFonts w:ascii="Arial" w:hAnsi="Arial" w:cs="Arial"/>
          <w:sz w:val="24"/>
          <w:szCs w:val="24"/>
        </w:rPr>
        <w:t>defendant</w:t>
      </w:r>
      <w:r w:rsidR="00647627">
        <w:rPr>
          <w:rFonts w:ascii="Arial" w:hAnsi="Arial" w:cs="Arial"/>
          <w:sz w:val="24"/>
          <w:szCs w:val="24"/>
        </w:rPr>
        <w:t>s’</w:t>
      </w:r>
      <w:r w:rsidR="002F3A35" w:rsidRPr="0006276E">
        <w:rPr>
          <w:rFonts w:ascii="Arial" w:hAnsi="Arial" w:cs="Arial"/>
          <w:sz w:val="24"/>
          <w:szCs w:val="24"/>
        </w:rPr>
        <w:t xml:space="preserve"> protection against an abuse of process, to the Vexatious Proceedings Act 3 of 1956 (“VPA”) and the common law. </w:t>
      </w:r>
      <w:r w:rsidR="00B67A62">
        <w:rPr>
          <w:rFonts w:ascii="Arial" w:hAnsi="Arial" w:cs="Arial"/>
          <w:sz w:val="24"/>
          <w:szCs w:val="24"/>
        </w:rPr>
        <w:t xml:space="preserve"> </w:t>
      </w:r>
      <w:r w:rsidR="00BD4731">
        <w:rPr>
          <w:rFonts w:ascii="Arial" w:hAnsi="Arial" w:cs="Arial"/>
          <w:sz w:val="24"/>
          <w:szCs w:val="24"/>
        </w:rPr>
        <w:t>Defendant</w:t>
      </w:r>
      <w:r w:rsidR="002738EE">
        <w:rPr>
          <w:rFonts w:ascii="Arial" w:hAnsi="Arial" w:cs="Arial"/>
          <w:sz w:val="24"/>
          <w:szCs w:val="24"/>
        </w:rPr>
        <w:t>s</w:t>
      </w:r>
      <w:r w:rsidR="002F3A35" w:rsidRPr="0006276E">
        <w:rPr>
          <w:rFonts w:ascii="Arial" w:hAnsi="Arial" w:cs="Arial"/>
          <w:sz w:val="24"/>
          <w:szCs w:val="24"/>
        </w:rPr>
        <w:t xml:space="preserve"> do not purport to rely on the VPA. However, section </w:t>
      </w:r>
      <w:r w:rsidR="009F0DCA">
        <w:rPr>
          <w:rFonts w:ascii="Arial" w:hAnsi="Arial" w:cs="Arial"/>
          <w:sz w:val="24"/>
          <w:szCs w:val="24"/>
        </w:rPr>
        <w:t>2(1)</w:t>
      </w:r>
      <w:r w:rsidR="002F3A35" w:rsidRPr="0006276E">
        <w:rPr>
          <w:rFonts w:ascii="Arial" w:hAnsi="Arial" w:cs="Arial"/>
          <w:sz w:val="24"/>
          <w:szCs w:val="24"/>
        </w:rPr>
        <w:t>(b)</w:t>
      </w:r>
      <w:r w:rsidR="00F364ED">
        <w:rPr>
          <w:rStyle w:val="FootnoteReference"/>
          <w:rFonts w:ascii="Arial" w:hAnsi="Arial" w:cs="Arial"/>
          <w:sz w:val="24"/>
          <w:szCs w:val="24"/>
        </w:rPr>
        <w:footnoteReference w:id="6"/>
      </w:r>
      <w:r w:rsidR="002F3A35" w:rsidRPr="0006276E">
        <w:rPr>
          <w:rFonts w:ascii="Arial" w:hAnsi="Arial" w:cs="Arial"/>
          <w:sz w:val="24"/>
          <w:szCs w:val="24"/>
        </w:rPr>
        <w:t xml:space="preserve"> </w:t>
      </w:r>
      <w:r w:rsidR="002F3A35" w:rsidRPr="0006276E">
        <w:rPr>
          <w:rFonts w:ascii="Arial" w:hAnsi="Arial" w:cs="Arial"/>
          <w:sz w:val="24"/>
          <w:szCs w:val="24"/>
        </w:rPr>
        <w:lastRenderedPageBreak/>
        <w:t>of the VPA, being the only applicable section of t</w:t>
      </w:r>
      <w:r w:rsidR="00E807C5">
        <w:rPr>
          <w:rFonts w:ascii="Arial" w:hAnsi="Arial" w:cs="Arial"/>
          <w:sz w:val="24"/>
          <w:szCs w:val="24"/>
        </w:rPr>
        <w:t>he VPA, requires an application</w:t>
      </w:r>
      <w:r w:rsidR="002F3A35" w:rsidRPr="0006276E">
        <w:rPr>
          <w:rFonts w:ascii="Arial" w:hAnsi="Arial" w:cs="Arial"/>
          <w:sz w:val="24"/>
          <w:szCs w:val="24"/>
        </w:rPr>
        <w:t xml:space="preserve"> for protection against a vexatious litigant to be brought by a </w:t>
      </w:r>
      <w:r w:rsidR="00B67A62">
        <w:rPr>
          <w:rFonts w:ascii="Arial" w:hAnsi="Arial" w:cs="Arial"/>
          <w:sz w:val="24"/>
          <w:szCs w:val="24"/>
        </w:rPr>
        <w:t>d</w:t>
      </w:r>
      <w:r w:rsidR="00BD4731">
        <w:rPr>
          <w:rFonts w:ascii="Arial" w:hAnsi="Arial" w:cs="Arial"/>
          <w:sz w:val="24"/>
          <w:szCs w:val="24"/>
        </w:rPr>
        <w:t>efendant</w:t>
      </w:r>
      <w:r w:rsidR="006014D7">
        <w:rPr>
          <w:rFonts w:ascii="Arial" w:hAnsi="Arial" w:cs="Arial"/>
          <w:sz w:val="24"/>
          <w:szCs w:val="24"/>
        </w:rPr>
        <w:t>.</w:t>
      </w:r>
      <w:r w:rsidR="002F3A35" w:rsidRPr="0006276E">
        <w:rPr>
          <w:rFonts w:ascii="Arial" w:hAnsi="Arial" w:cs="Arial"/>
          <w:sz w:val="24"/>
          <w:szCs w:val="24"/>
        </w:rPr>
        <w:t xml:space="preserve"> </w:t>
      </w:r>
      <w:r w:rsidR="006014D7">
        <w:rPr>
          <w:rFonts w:ascii="Arial" w:hAnsi="Arial" w:cs="Arial"/>
          <w:sz w:val="24"/>
          <w:szCs w:val="24"/>
        </w:rPr>
        <w:t xml:space="preserve"> </w:t>
      </w:r>
      <w:r w:rsidR="002F3A35" w:rsidRPr="0006276E">
        <w:rPr>
          <w:rFonts w:ascii="Arial" w:hAnsi="Arial" w:cs="Arial"/>
          <w:sz w:val="24"/>
          <w:szCs w:val="24"/>
        </w:rPr>
        <w:t>Such protection cannot be obtained by f</w:t>
      </w:r>
      <w:r w:rsidR="00647627">
        <w:rPr>
          <w:rFonts w:ascii="Arial" w:hAnsi="Arial" w:cs="Arial"/>
          <w:sz w:val="24"/>
          <w:szCs w:val="24"/>
        </w:rPr>
        <w:t>i</w:t>
      </w:r>
      <w:r w:rsidR="002F3A35" w:rsidRPr="0006276E">
        <w:rPr>
          <w:rFonts w:ascii="Arial" w:hAnsi="Arial" w:cs="Arial"/>
          <w:sz w:val="24"/>
          <w:szCs w:val="24"/>
        </w:rPr>
        <w:t xml:space="preserve">ling a </w:t>
      </w:r>
      <w:r w:rsidR="00224AF3">
        <w:rPr>
          <w:rFonts w:ascii="Arial" w:hAnsi="Arial" w:cs="Arial"/>
          <w:sz w:val="24"/>
          <w:szCs w:val="24"/>
        </w:rPr>
        <w:t>p</w:t>
      </w:r>
      <w:r w:rsidR="002F3A35" w:rsidRPr="0006276E">
        <w:rPr>
          <w:rFonts w:ascii="Arial" w:hAnsi="Arial" w:cs="Arial"/>
          <w:sz w:val="24"/>
          <w:szCs w:val="24"/>
        </w:rPr>
        <w:t>lea in which abuse is alleged.</w:t>
      </w:r>
      <w:r w:rsidR="001945F5">
        <w:rPr>
          <w:rFonts w:ascii="Arial" w:hAnsi="Arial" w:cs="Arial"/>
          <w:sz w:val="24"/>
          <w:szCs w:val="24"/>
        </w:rPr>
        <w:t xml:space="preserve"> </w:t>
      </w:r>
      <w:r w:rsidR="002F3A35" w:rsidRPr="0006276E">
        <w:rPr>
          <w:rFonts w:ascii="Arial" w:hAnsi="Arial" w:cs="Arial"/>
          <w:sz w:val="24"/>
          <w:szCs w:val="24"/>
        </w:rPr>
        <w:t xml:space="preserve"> In the absence of such an application, the </w:t>
      </w:r>
      <w:r w:rsidR="00B67A62">
        <w:rPr>
          <w:rFonts w:ascii="Arial" w:hAnsi="Arial" w:cs="Arial"/>
          <w:sz w:val="24"/>
          <w:szCs w:val="24"/>
        </w:rPr>
        <w:t>d</w:t>
      </w:r>
      <w:r w:rsidR="00BD4731">
        <w:rPr>
          <w:rFonts w:ascii="Arial" w:hAnsi="Arial" w:cs="Arial"/>
          <w:sz w:val="24"/>
          <w:szCs w:val="24"/>
        </w:rPr>
        <w:t>efendant</w:t>
      </w:r>
      <w:r w:rsidR="002738EE">
        <w:rPr>
          <w:rFonts w:ascii="Arial" w:hAnsi="Arial" w:cs="Arial"/>
          <w:sz w:val="24"/>
          <w:szCs w:val="24"/>
        </w:rPr>
        <w:t>s</w:t>
      </w:r>
      <w:r w:rsidR="002F3A35" w:rsidRPr="0006276E">
        <w:rPr>
          <w:rFonts w:ascii="Arial" w:hAnsi="Arial" w:cs="Arial"/>
          <w:sz w:val="24"/>
          <w:szCs w:val="24"/>
        </w:rPr>
        <w:t xml:space="preserve"> are constrained to make out a case for </w:t>
      </w:r>
      <w:r w:rsidR="00AF2387">
        <w:rPr>
          <w:rFonts w:ascii="Arial" w:hAnsi="Arial" w:cs="Arial"/>
          <w:sz w:val="24"/>
          <w:szCs w:val="24"/>
        </w:rPr>
        <w:t>common law abuse of process.</w:t>
      </w:r>
    </w:p>
    <w:p w14:paraId="2BB389FD" w14:textId="77777777" w:rsidR="00AF1E2F" w:rsidRPr="0006276E" w:rsidRDefault="00AF1E2F" w:rsidP="00AF1E2F">
      <w:pPr>
        <w:spacing w:after="0" w:line="240" w:lineRule="auto"/>
        <w:jc w:val="both"/>
        <w:rPr>
          <w:rFonts w:ascii="Arial" w:hAnsi="Arial" w:cs="Arial"/>
          <w:sz w:val="24"/>
          <w:szCs w:val="24"/>
        </w:rPr>
      </w:pPr>
    </w:p>
    <w:p w14:paraId="21C17831" w14:textId="77777777" w:rsidR="00AF2387" w:rsidRDefault="007B2594" w:rsidP="0006276E">
      <w:pPr>
        <w:spacing w:line="480" w:lineRule="auto"/>
        <w:jc w:val="both"/>
        <w:rPr>
          <w:rFonts w:ascii="Arial" w:hAnsi="Arial" w:cs="Arial"/>
          <w:sz w:val="24"/>
          <w:szCs w:val="24"/>
        </w:rPr>
      </w:pPr>
      <w:r>
        <w:rPr>
          <w:rFonts w:ascii="Arial" w:hAnsi="Arial" w:cs="Arial"/>
          <w:sz w:val="24"/>
          <w:szCs w:val="24"/>
        </w:rPr>
        <w:t>[12</w:t>
      </w:r>
      <w:r w:rsidR="002F3A35" w:rsidRPr="0006276E">
        <w:rPr>
          <w:rFonts w:ascii="Arial" w:hAnsi="Arial" w:cs="Arial"/>
          <w:sz w:val="24"/>
          <w:szCs w:val="24"/>
        </w:rPr>
        <w:t>]</w:t>
      </w:r>
      <w:r w:rsidR="002F3A35" w:rsidRPr="0006276E">
        <w:rPr>
          <w:rFonts w:ascii="Arial" w:hAnsi="Arial" w:cs="Arial"/>
          <w:sz w:val="24"/>
          <w:szCs w:val="24"/>
        </w:rPr>
        <w:tab/>
        <w:t xml:space="preserve">With reference to </w:t>
      </w:r>
      <w:r w:rsidR="00AF2387">
        <w:rPr>
          <w:rFonts w:ascii="Arial" w:hAnsi="Arial" w:cs="Arial"/>
          <w:b/>
          <w:sz w:val="24"/>
          <w:szCs w:val="24"/>
        </w:rPr>
        <w:t>Bisset and Others v Boland Bank Ltd and O</w:t>
      </w:r>
      <w:r w:rsidR="002F3A35" w:rsidRPr="001945F5">
        <w:rPr>
          <w:rFonts w:ascii="Arial" w:hAnsi="Arial" w:cs="Arial"/>
          <w:b/>
          <w:sz w:val="24"/>
          <w:szCs w:val="24"/>
        </w:rPr>
        <w:t>thers</w:t>
      </w:r>
      <w:r w:rsidR="003E709F">
        <w:rPr>
          <w:rStyle w:val="FootnoteReference"/>
          <w:rFonts w:ascii="Arial" w:hAnsi="Arial" w:cs="Arial"/>
          <w:sz w:val="24"/>
          <w:szCs w:val="24"/>
        </w:rPr>
        <w:footnoteReference w:id="7"/>
      </w:r>
      <w:r w:rsidR="002F3A35" w:rsidRPr="0006276E">
        <w:rPr>
          <w:rFonts w:ascii="Arial" w:hAnsi="Arial" w:cs="Arial"/>
          <w:sz w:val="24"/>
          <w:szCs w:val="24"/>
        </w:rPr>
        <w:t xml:space="preserve">, and </w:t>
      </w:r>
      <w:r w:rsidR="002F3A35" w:rsidRPr="001945F5">
        <w:rPr>
          <w:rFonts w:ascii="Arial" w:hAnsi="Arial" w:cs="Arial"/>
          <w:b/>
          <w:sz w:val="24"/>
          <w:szCs w:val="24"/>
        </w:rPr>
        <w:t xml:space="preserve">Member of the Executive Council for the Department of Co-operative Governance and Traditional Affairs v </w:t>
      </w:r>
      <w:proofErr w:type="spellStart"/>
      <w:r w:rsidR="002F3A35" w:rsidRPr="001945F5">
        <w:rPr>
          <w:rFonts w:ascii="Arial" w:hAnsi="Arial" w:cs="Arial"/>
          <w:b/>
          <w:sz w:val="24"/>
          <w:szCs w:val="24"/>
        </w:rPr>
        <w:t>Maphanga</w:t>
      </w:r>
      <w:proofErr w:type="spellEnd"/>
      <w:r w:rsidR="0066464B">
        <w:rPr>
          <w:rStyle w:val="FootnoteReference"/>
          <w:rFonts w:ascii="Arial" w:hAnsi="Arial" w:cs="Arial"/>
          <w:b/>
          <w:sz w:val="24"/>
          <w:szCs w:val="24"/>
        </w:rPr>
        <w:footnoteReference w:id="8"/>
      </w:r>
      <w:r w:rsidR="00AF2387">
        <w:rPr>
          <w:rFonts w:ascii="Arial" w:hAnsi="Arial" w:cs="Arial"/>
          <w:sz w:val="24"/>
          <w:szCs w:val="24"/>
        </w:rPr>
        <w:t>,</w:t>
      </w:r>
      <w:r w:rsidR="002F3A35" w:rsidRPr="0006276E">
        <w:rPr>
          <w:rFonts w:ascii="Arial" w:hAnsi="Arial" w:cs="Arial"/>
          <w:sz w:val="24"/>
          <w:szCs w:val="24"/>
        </w:rPr>
        <w:t xml:space="preserve"> the </w:t>
      </w:r>
      <w:r w:rsidR="00974F43">
        <w:rPr>
          <w:rFonts w:ascii="Arial" w:hAnsi="Arial" w:cs="Arial"/>
          <w:sz w:val="24"/>
          <w:szCs w:val="24"/>
        </w:rPr>
        <w:t>p</w:t>
      </w:r>
      <w:r w:rsidR="002738EE">
        <w:rPr>
          <w:rFonts w:ascii="Arial" w:hAnsi="Arial" w:cs="Arial"/>
          <w:sz w:val="24"/>
          <w:szCs w:val="24"/>
        </w:rPr>
        <w:t>laintiff</w:t>
      </w:r>
      <w:r w:rsidR="00647627">
        <w:rPr>
          <w:rFonts w:ascii="Arial" w:hAnsi="Arial" w:cs="Arial"/>
          <w:sz w:val="24"/>
          <w:szCs w:val="24"/>
        </w:rPr>
        <w:t>s</w:t>
      </w:r>
      <w:r w:rsidR="002F3A35" w:rsidRPr="0006276E">
        <w:rPr>
          <w:rFonts w:ascii="Arial" w:hAnsi="Arial" w:cs="Arial"/>
          <w:sz w:val="24"/>
          <w:szCs w:val="24"/>
        </w:rPr>
        <w:t xml:space="preserve"> reminded the court of its inherent and common law </w:t>
      </w:r>
      <w:r w:rsidR="001109CA">
        <w:rPr>
          <w:rFonts w:ascii="Arial" w:hAnsi="Arial" w:cs="Arial"/>
          <w:sz w:val="24"/>
          <w:szCs w:val="24"/>
        </w:rPr>
        <w:t>power</w:t>
      </w:r>
      <w:r w:rsidR="002F3A35" w:rsidRPr="0006276E">
        <w:rPr>
          <w:rFonts w:ascii="Arial" w:hAnsi="Arial" w:cs="Arial"/>
          <w:sz w:val="24"/>
          <w:szCs w:val="24"/>
        </w:rPr>
        <w:t xml:space="preserve"> to strik</w:t>
      </w:r>
      <w:r w:rsidR="00AA7597">
        <w:rPr>
          <w:rFonts w:ascii="Arial" w:hAnsi="Arial" w:cs="Arial"/>
          <w:sz w:val="24"/>
          <w:szCs w:val="24"/>
        </w:rPr>
        <w:t>e out claims that constitute an</w:t>
      </w:r>
      <w:r w:rsidR="002F3A35" w:rsidRPr="0006276E">
        <w:rPr>
          <w:rFonts w:ascii="Arial" w:hAnsi="Arial" w:cs="Arial"/>
          <w:sz w:val="24"/>
          <w:szCs w:val="24"/>
        </w:rPr>
        <w:t xml:space="preserve"> abuse of process, emphasising that such powers m</w:t>
      </w:r>
      <w:r w:rsidR="003E45BB">
        <w:rPr>
          <w:rFonts w:ascii="Arial" w:hAnsi="Arial" w:cs="Arial"/>
          <w:sz w:val="24"/>
          <w:szCs w:val="24"/>
        </w:rPr>
        <w:t>ust be exercised with very great</w:t>
      </w:r>
      <w:r w:rsidR="002F3A35" w:rsidRPr="0006276E">
        <w:rPr>
          <w:rFonts w:ascii="Arial" w:hAnsi="Arial" w:cs="Arial"/>
          <w:sz w:val="24"/>
          <w:szCs w:val="24"/>
        </w:rPr>
        <w:t xml:space="preserve"> caution based on the merits of the impugned litigation. </w:t>
      </w:r>
      <w:r w:rsidR="002738EE">
        <w:rPr>
          <w:rFonts w:ascii="Arial" w:hAnsi="Arial" w:cs="Arial"/>
          <w:sz w:val="24"/>
          <w:szCs w:val="24"/>
        </w:rPr>
        <w:t>Plaintiff</w:t>
      </w:r>
      <w:r w:rsidR="00647627">
        <w:rPr>
          <w:rFonts w:ascii="Arial" w:hAnsi="Arial" w:cs="Arial"/>
          <w:sz w:val="24"/>
          <w:szCs w:val="24"/>
        </w:rPr>
        <w:t>s</w:t>
      </w:r>
      <w:r w:rsidR="002F3A35" w:rsidRPr="0006276E">
        <w:rPr>
          <w:rFonts w:ascii="Arial" w:hAnsi="Arial" w:cs="Arial"/>
          <w:sz w:val="24"/>
          <w:szCs w:val="24"/>
        </w:rPr>
        <w:t xml:space="preserve"> contend</w:t>
      </w:r>
      <w:r w:rsidR="004625C5">
        <w:rPr>
          <w:rFonts w:ascii="Arial" w:hAnsi="Arial" w:cs="Arial"/>
          <w:sz w:val="24"/>
          <w:szCs w:val="24"/>
        </w:rPr>
        <w:t>ed</w:t>
      </w:r>
      <w:r w:rsidR="002F3A35" w:rsidRPr="0006276E">
        <w:rPr>
          <w:rFonts w:ascii="Arial" w:hAnsi="Arial" w:cs="Arial"/>
          <w:sz w:val="24"/>
          <w:szCs w:val="24"/>
        </w:rPr>
        <w:t xml:space="preserve"> that in order for such legal proceedings to constitute </w:t>
      </w:r>
      <w:r w:rsidR="008F0B69">
        <w:rPr>
          <w:rFonts w:ascii="Arial" w:hAnsi="Arial" w:cs="Arial"/>
          <w:sz w:val="24"/>
          <w:szCs w:val="24"/>
        </w:rPr>
        <w:t xml:space="preserve">an </w:t>
      </w:r>
      <w:r w:rsidR="002F3A35" w:rsidRPr="0006276E">
        <w:rPr>
          <w:rFonts w:ascii="Arial" w:hAnsi="Arial" w:cs="Arial"/>
          <w:sz w:val="24"/>
          <w:szCs w:val="24"/>
        </w:rPr>
        <w:t xml:space="preserve">abuse of process, those proceedings must have been </w:t>
      </w:r>
      <w:r w:rsidR="006C43F9" w:rsidRPr="0006276E">
        <w:rPr>
          <w:rFonts w:ascii="Arial" w:hAnsi="Arial" w:cs="Arial"/>
          <w:sz w:val="24"/>
          <w:szCs w:val="24"/>
        </w:rPr>
        <w:t>instituted</w:t>
      </w:r>
      <w:r w:rsidR="002F3A35" w:rsidRPr="0006276E">
        <w:rPr>
          <w:rFonts w:ascii="Arial" w:hAnsi="Arial" w:cs="Arial"/>
          <w:sz w:val="24"/>
          <w:szCs w:val="24"/>
        </w:rPr>
        <w:t xml:space="preserve"> wi</w:t>
      </w:r>
      <w:r w:rsidR="006C43F9" w:rsidRPr="0006276E">
        <w:rPr>
          <w:rFonts w:ascii="Arial" w:hAnsi="Arial" w:cs="Arial"/>
          <w:sz w:val="24"/>
          <w:szCs w:val="24"/>
        </w:rPr>
        <w:t>thout</w:t>
      </w:r>
      <w:r w:rsidR="00647627">
        <w:rPr>
          <w:rFonts w:ascii="Arial" w:hAnsi="Arial" w:cs="Arial"/>
          <w:sz w:val="24"/>
          <w:szCs w:val="24"/>
        </w:rPr>
        <w:t xml:space="preserve"> reasonable gr</w:t>
      </w:r>
      <w:r w:rsidR="002F3A35" w:rsidRPr="0006276E">
        <w:rPr>
          <w:rFonts w:ascii="Arial" w:hAnsi="Arial" w:cs="Arial"/>
          <w:sz w:val="24"/>
          <w:szCs w:val="24"/>
        </w:rPr>
        <w:t xml:space="preserve">ounds and be </w:t>
      </w:r>
      <w:r w:rsidR="006C43F9" w:rsidRPr="0006276E">
        <w:rPr>
          <w:rFonts w:ascii="Arial" w:hAnsi="Arial" w:cs="Arial"/>
          <w:sz w:val="24"/>
          <w:szCs w:val="24"/>
        </w:rPr>
        <w:t>obviously</w:t>
      </w:r>
      <w:r w:rsidR="002F3A35" w:rsidRPr="0006276E">
        <w:rPr>
          <w:rFonts w:ascii="Arial" w:hAnsi="Arial" w:cs="Arial"/>
          <w:sz w:val="24"/>
          <w:szCs w:val="24"/>
        </w:rPr>
        <w:t xml:space="preserve"> unsustainable on their </w:t>
      </w:r>
      <w:r w:rsidR="006C43F9" w:rsidRPr="0006276E">
        <w:rPr>
          <w:rFonts w:ascii="Arial" w:hAnsi="Arial" w:cs="Arial"/>
          <w:sz w:val="24"/>
          <w:szCs w:val="24"/>
        </w:rPr>
        <w:t>merits</w:t>
      </w:r>
      <w:r w:rsidR="002F3A35" w:rsidRPr="0006276E">
        <w:rPr>
          <w:rFonts w:ascii="Arial" w:hAnsi="Arial" w:cs="Arial"/>
          <w:sz w:val="24"/>
          <w:szCs w:val="24"/>
        </w:rPr>
        <w:t xml:space="preserve"> as a certainty</w:t>
      </w:r>
      <w:r w:rsidR="00647627">
        <w:rPr>
          <w:rFonts w:ascii="Arial" w:hAnsi="Arial" w:cs="Arial"/>
          <w:sz w:val="24"/>
          <w:szCs w:val="24"/>
        </w:rPr>
        <w:t xml:space="preserve"> and not merely on a preponderance of probability</w:t>
      </w:r>
      <w:r w:rsidR="002F3A35" w:rsidRPr="0006276E">
        <w:rPr>
          <w:rFonts w:ascii="Arial" w:hAnsi="Arial" w:cs="Arial"/>
          <w:sz w:val="24"/>
          <w:szCs w:val="24"/>
        </w:rPr>
        <w:t xml:space="preserve">. </w:t>
      </w:r>
      <w:r w:rsidR="00C30EB0">
        <w:rPr>
          <w:rFonts w:ascii="Arial" w:hAnsi="Arial" w:cs="Arial"/>
          <w:sz w:val="24"/>
          <w:szCs w:val="24"/>
        </w:rPr>
        <w:t xml:space="preserve"> </w:t>
      </w:r>
    </w:p>
    <w:p w14:paraId="162CBC01" w14:textId="77777777" w:rsidR="00AF2387" w:rsidRDefault="00AF2387" w:rsidP="0006276E">
      <w:pPr>
        <w:spacing w:line="480" w:lineRule="auto"/>
        <w:jc w:val="both"/>
        <w:rPr>
          <w:rFonts w:ascii="Arial" w:hAnsi="Arial" w:cs="Arial"/>
          <w:sz w:val="24"/>
          <w:szCs w:val="24"/>
        </w:rPr>
      </w:pPr>
    </w:p>
    <w:p w14:paraId="4D3541C9" w14:textId="77777777" w:rsidR="006C43F9" w:rsidRPr="0006276E" w:rsidRDefault="007B2594" w:rsidP="0006276E">
      <w:pPr>
        <w:spacing w:line="480" w:lineRule="auto"/>
        <w:jc w:val="both"/>
        <w:rPr>
          <w:rFonts w:ascii="Arial" w:hAnsi="Arial" w:cs="Arial"/>
          <w:sz w:val="24"/>
          <w:szCs w:val="24"/>
        </w:rPr>
      </w:pPr>
      <w:r>
        <w:rPr>
          <w:rFonts w:ascii="Arial" w:hAnsi="Arial" w:cs="Arial"/>
          <w:sz w:val="24"/>
          <w:szCs w:val="24"/>
        </w:rPr>
        <w:t>[13</w:t>
      </w:r>
      <w:r w:rsidR="00AF2387">
        <w:rPr>
          <w:rFonts w:ascii="Arial" w:hAnsi="Arial" w:cs="Arial"/>
          <w:sz w:val="24"/>
          <w:szCs w:val="24"/>
        </w:rPr>
        <w:t>]</w:t>
      </w:r>
      <w:r w:rsidR="00AF2387">
        <w:rPr>
          <w:rFonts w:ascii="Arial" w:hAnsi="Arial" w:cs="Arial"/>
          <w:sz w:val="24"/>
          <w:szCs w:val="24"/>
        </w:rPr>
        <w:tab/>
      </w:r>
      <w:r w:rsidR="002F3A35" w:rsidRPr="0006276E">
        <w:rPr>
          <w:rFonts w:ascii="Arial" w:hAnsi="Arial" w:cs="Arial"/>
          <w:sz w:val="24"/>
          <w:szCs w:val="24"/>
        </w:rPr>
        <w:t xml:space="preserve">The </w:t>
      </w:r>
      <w:r w:rsidR="006C43F9" w:rsidRPr="0006276E">
        <w:rPr>
          <w:rFonts w:ascii="Arial" w:hAnsi="Arial" w:cs="Arial"/>
          <w:sz w:val="24"/>
          <w:szCs w:val="24"/>
        </w:rPr>
        <w:t>merits</w:t>
      </w:r>
      <w:r w:rsidR="002F3A35" w:rsidRPr="0006276E">
        <w:rPr>
          <w:rFonts w:ascii="Arial" w:hAnsi="Arial" w:cs="Arial"/>
          <w:sz w:val="24"/>
          <w:szCs w:val="24"/>
        </w:rPr>
        <w:t xml:space="preserve"> cannot be ignored in favour of </w:t>
      </w:r>
      <w:r w:rsidR="006C43F9" w:rsidRPr="0006276E">
        <w:rPr>
          <w:rFonts w:ascii="Arial" w:hAnsi="Arial" w:cs="Arial"/>
          <w:sz w:val="24"/>
          <w:szCs w:val="24"/>
        </w:rPr>
        <w:t>the</w:t>
      </w:r>
      <w:r w:rsidR="002F3A35" w:rsidRPr="0006276E">
        <w:rPr>
          <w:rFonts w:ascii="Arial" w:hAnsi="Arial" w:cs="Arial"/>
          <w:sz w:val="24"/>
          <w:szCs w:val="24"/>
        </w:rPr>
        <w:t xml:space="preserve"> exclusive </w:t>
      </w:r>
      <w:r w:rsidR="006C43F9" w:rsidRPr="0006276E">
        <w:rPr>
          <w:rFonts w:ascii="Arial" w:hAnsi="Arial" w:cs="Arial"/>
          <w:sz w:val="24"/>
          <w:szCs w:val="24"/>
        </w:rPr>
        <w:t>reliance</w:t>
      </w:r>
      <w:r w:rsidR="002F3A35" w:rsidRPr="0006276E">
        <w:rPr>
          <w:rFonts w:ascii="Arial" w:hAnsi="Arial" w:cs="Arial"/>
          <w:sz w:val="24"/>
          <w:szCs w:val="24"/>
        </w:rPr>
        <w:t xml:space="preserve"> o</w:t>
      </w:r>
      <w:r w:rsidR="006C43F9" w:rsidRPr="0006276E">
        <w:rPr>
          <w:rFonts w:ascii="Arial" w:hAnsi="Arial" w:cs="Arial"/>
          <w:sz w:val="24"/>
          <w:szCs w:val="24"/>
        </w:rPr>
        <w:t xml:space="preserve">n the </w:t>
      </w:r>
      <w:r w:rsidR="00974F43">
        <w:rPr>
          <w:rFonts w:ascii="Arial" w:hAnsi="Arial" w:cs="Arial"/>
          <w:sz w:val="24"/>
          <w:szCs w:val="24"/>
        </w:rPr>
        <w:t>p</w:t>
      </w:r>
      <w:r w:rsidR="002738EE">
        <w:rPr>
          <w:rFonts w:ascii="Arial" w:hAnsi="Arial" w:cs="Arial"/>
          <w:sz w:val="24"/>
          <w:szCs w:val="24"/>
        </w:rPr>
        <w:t>laintiff</w:t>
      </w:r>
      <w:r w:rsidR="006C43F9" w:rsidRPr="0006276E">
        <w:rPr>
          <w:rFonts w:ascii="Arial" w:hAnsi="Arial" w:cs="Arial"/>
          <w:sz w:val="24"/>
          <w:szCs w:val="24"/>
        </w:rPr>
        <w:t xml:space="preserve">s’ motives. Furthermore, with reference to </w:t>
      </w:r>
      <w:r w:rsidR="00647627">
        <w:rPr>
          <w:rFonts w:ascii="Arial" w:hAnsi="Arial" w:cs="Arial"/>
          <w:b/>
          <w:sz w:val="24"/>
          <w:szCs w:val="24"/>
        </w:rPr>
        <w:t>National Director of P</w:t>
      </w:r>
      <w:r w:rsidR="006C43F9" w:rsidRPr="00C30EB0">
        <w:rPr>
          <w:rFonts w:ascii="Arial" w:hAnsi="Arial" w:cs="Arial"/>
          <w:b/>
          <w:sz w:val="24"/>
          <w:szCs w:val="24"/>
        </w:rPr>
        <w:t>ublic Prosecutions v Zuma</w:t>
      </w:r>
      <w:r w:rsidR="0066464B">
        <w:rPr>
          <w:rStyle w:val="FootnoteReference"/>
          <w:rFonts w:ascii="Arial" w:hAnsi="Arial" w:cs="Arial"/>
          <w:b/>
          <w:sz w:val="24"/>
          <w:szCs w:val="24"/>
        </w:rPr>
        <w:footnoteReference w:id="9"/>
      </w:r>
      <w:r w:rsidR="006C43F9" w:rsidRPr="0006276E">
        <w:rPr>
          <w:rFonts w:ascii="Arial" w:hAnsi="Arial" w:cs="Arial"/>
          <w:sz w:val="24"/>
          <w:szCs w:val="24"/>
        </w:rPr>
        <w:t xml:space="preserve">, and </w:t>
      </w:r>
      <w:r w:rsidR="006C43F9" w:rsidRPr="00C30EB0">
        <w:rPr>
          <w:rFonts w:ascii="Arial" w:hAnsi="Arial" w:cs="Arial"/>
          <w:b/>
          <w:sz w:val="24"/>
          <w:szCs w:val="24"/>
        </w:rPr>
        <w:t>Zuma v Democrat</w:t>
      </w:r>
      <w:r w:rsidR="00647627">
        <w:rPr>
          <w:rFonts w:ascii="Arial" w:hAnsi="Arial" w:cs="Arial"/>
          <w:b/>
          <w:sz w:val="24"/>
          <w:szCs w:val="24"/>
        </w:rPr>
        <w:t>ic Alliance and O</w:t>
      </w:r>
      <w:r w:rsidR="00C30EB0">
        <w:rPr>
          <w:rFonts w:ascii="Arial" w:hAnsi="Arial" w:cs="Arial"/>
          <w:b/>
          <w:sz w:val="24"/>
          <w:szCs w:val="24"/>
        </w:rPr>
        <w:t>thers;</w:t>
      </w:r>
      <w:r w:rsidR="0066464B">
        <w:rPr>
          <w:rStyle w:val="FootnoteReference"/>
          <w:rFonts w:ascii="Arial" w:hAnsi="Arial" w:cs="Arial"/>
          <w:b/>
          <w:sz w:val="24"/>
          <w:szCs w:val="24"/>
        </w:rPr>
        <w:footnoteReference w:id="10"/>
      </w:r>
      <w:r w:rsidR="00AF2387">
        <w:rPr>
          <w:rFonts w:ascii="Arial" w:hAnsi="Arial" w:cs="Arial"/>
          <w:sz w:val="24"/>
          <w:szCs w:val="24"/>
        </w:rPr>
        <w:t>, the plaintiffs submit that ulterior purpose or motive is irrelevant to the abuse of process debate. The plaintiffs</w:t>
      </w:r>
      <w:r w:rsidR="004625C5">
        <w:rPr>
          <w:rFonts w:ascii="Arial" w:hAnsi="Arial" w:cs="Arial"/>
          <w:sz w:val="24"/>
          <w:szCs w:val="24"/>
        </w:rPr>
        <w:t xml:space="preserve"> contend that the assessment as to </w:t>
      </w:r>
      <w:r w:rsidR="00AF2387">
        <w:rPr>
          <w:rFonts w:ascii="Arial" w:hAnsi="Arial" w:cs="Arial"/>
          <w:sz w:val="24"/>
          <w:szCs w:val="24"/>
        </w:rPr>
        <w:t>whether actions are considered as defamatory,</w:t>
      </w:r>
      <w:r w:rsidR="00F11918">
        <w:rPr>
          <w:rFonts w:ascii="Arial" w:hAnsi="Arial" w:cs="Arial"/>
          <w:sz w:val="24"/>
          <w:szCs w:val="24"/>
        </w:rPr>
        <w:t xml:space="preserve"> or otherwise,</w:t>
      </w:r>
      <w:r w:rsidR="00AF2387">
        <w:rPr>
          <w:rFonts w:ascii="Arial" w:hAnsi="Arial" w:cs="Arial"/>
          <w:sz w:val="24"/>
          <w:szCs w:val="24"/>
        </w:rPr>
        <w:t xml:space="preserve"> cannot take place without considering the merits of a case. Consequently, </w:t>
      </w:r>
      <w:r w:rsidR="00AF2387">
        <w:rPr>
          <w:rFonts w:ascii="Arial" w:hAnsi="Arial" w:cs="Arial"/>
          <w:sz w:val="24"/>
          <w:szCs w:val="24"/>
        </w:rPr>
        <w:lastRenderedPageBreak/>
        <w:t>b</w:t>
      </w:r>
      <w:r w:rsidR="006C43F9" w:rsidRPr="0006276E">
        <w:rPr>
          <w:rFonts w:ascii="Arial" w:hAnsi="Arial" w:cs="Arial"/>
          <w:sz w:val="24"/>
          <w:szCs w:val="24"/>
        </w:rPr>
        <w:t xml:space="preserve">y relying on </w:t>
      </w:r>
      <w:r w:rsidR="002738EE">
        <w:rPr>
          <w:rFonts w:ascii="Arial" w:hAnsi="Arial" w:cs="Arial"/>
          <w:sz w:val="24"/>
          <w:szCs w:val="24"/>
        </w:rPr>
        <w:t>plaintiff</w:t>
      </w:r>
      <w:r w:rsidR="006C43F9" w:rsidRPr="0006276E">
        <w:rPr>
          <w:rFonts w:ascii="Arial" w:hAnsi="Arial" w:cs="Arial"/>
          <w:sz w:val="24"/>
          <w:szCs w:val="24"/>
        </w:rPr>
        <w:t xml:space="preserve">s’ motives to the exclusion of the merits of the </w:t>
      </w:r>
      <w:r w:rsidR="002738EE">
        <w:rPr>
          <w:rFonts w:ascii="Arial" w:hAnsi="Arial" w:cs="Arial"/>
          <w:sz w:val="24"/>
          <w:szCs w:val="24"/>
        </w:rPr>
        <w:t>plaintiff</w:t>
      </w:r>
      <w:r w:rsidR="006C43F9" w:rsidRPr="0006276E">
        <w:rPr>
          <w:rFonts w:ascii="Arial" w:hAnsi="Arial" w:cs="Arial"/>
          <w:sz w:val="24"/>
          <w:szCs w:val="24"/>
        </w:rPr>
        <w:t xml:space="preserve">s’ claims, the </w:t>
      </w:r>
      <w:r w:rsidR="00BD4731">
        <w:rPr>
          <w:rFonts w:ascii="Arial" w:hAnsi="Arial" w:cs="Arial"/>
          <w:sz w:val="24"/>
          <w:szCs w:val="24"/>
        </w:rPr>
        <w:t>defendant</w:t>
      </w:r>
      <w:r w:rsidR="002738EE">
        <w:rPr>
          <w:rFonts w:ascii="Arial" w:hAnsi="Arial" w:cs="Arial"/>
          <w:sz w:val="24"/>
          <w:szCs w:val="24"/>
        </w:rPr>
        <w:t>s</w:t>
      </w:r>
      <w:r w:rsidR="006C43F9" w:rsidRPr="0006276E">
        <w:rPr>
          <w:rFonts w:ascii="Arial" w:hAnsi="Arial" w:cs="Arial"/>
          <w:sz w:val="24"/>
          <w:szCs w:val="24"/>
        </w:rPr>
        <w:t>’ first special plea lacks averments necessary to sustain the defence on which they seek to rely</w:t>
      </w:r>
      <w:r w:rsidR="00A53ACC" w:rsidRPr="0006276E">
        <w:rPr>
          <w:rFonts w:ascii="Arial" w:hAnsi="Arial" w:cs="Arial"/>
          <w:sz w:val="24"/>
          <w:szCs w:val="24"/>
        </w:rPr>
        <w:t>.</w:t>
      </w:r>
    </w:p>
    <w:p w14:paraId="0F29AA8B" w14:textId="77777777" w:rsidR="00A53ACC" w:rsidRPr="0006276E" w:rsidRDefault="00A53ACC" w:rsidP="00AE289B">
      <w:pPr>
        <w:spacing w:after="0" w:line="240" w:lineRule="auto"/>
        <w:jc w:val="both"/>
        <w:rPr>
          <w:rFonts w:ascii="Arial" w:hAnsi="Arial" w:cs="Arial"/>
          <w:sz w:val="24"/>
          <w:szCs w:val="24"/>
        </w:rPr>
      </w:pPr>
    </w:p>
    <w:p w14:paraId="4C8046E6" w14:textId="77777777" w:rsidR="00A53ACC" w:rsidRDefault="007B2594" w:rsidP="0006276E">
      <w:pPr>
        <w:spacing w:line="480" w:lineRule="auto"/>
        <w:jc w:val="both"/>
        <w:rPr>
          <w:rFonts w:ascii="Arial" w:hAnsi="Arial" w:cs="Arial"/>
          <w:sz w:val="24"/>
          <w:szCs w:val="24"/>
        </w:rPr>
      </w:pPr>
      <w:r>
        <w:rPr>
          <w:rFonts w:ascii="Arial" w:hAnsi="Arial" w:cs="Arial"/>
          <w:sz w:val="24"/>
          <w:szCs w:val="24"/>
        </w:rPr>
        <w:t>[14</w:t>
      </w:r>
      <w:r w:rsidR="00A53ACC" w:rsidRPr="0006276E">
        <w:rPr>
          <w:rFonts w:ascii="Arial" w:hAnsi="Arial" w:cs="Arial"/>
          <w:sz w:val="24"/>
          <w:szCs w:val="24"/>
        </w:rPr>
        <w:t>]</w:t>
      </w:r>
      <w:r w:rsidR="00A53ACC" w:rsidRPr="0006276E">
        <w:rPr>
          <w:rFonts w:ascii="Arial" w:hAnsi="Arial" w:cs="Arial"/>
          <w:sz w:val="24"/>
          <w:szCs w:val="24"/>
        </w:rPr>
        <w:tab/>
        <w:t xml:space="preserve">The </w:t>
      </w:r>
      <w:r w:rsidR="002738EE">
        <w:rPr>
          <w:rFonts w:ascii="Arial" w:hAnsi="Arial" w:cs="Arial"/>
          <w:sz w:val="24"/>
          <w:szCs w:val="24"/>
        </w:rPr>
        <w:t>plaintiff</w:t>
      </w:r>
      <w:r w:rsidR="00F11918">
        <w:rPr>
          <w:rFonts w:ascii="Arial" w:hAnsi="Arial" w:cs="Arial"/>
          <w:sz w:val="24"/>
          <w:szCs w:val="24"/>
        </w:rPr>
        <w:t>s further aver</w:t>
      </w:r>
      <w:r w:rsidR="00547964">
        <w:rPr>
          <w:rFonts w:ascii="Arial" w:hAnsi="Arial" w:cs="Arial"/>
          <w:sz w:val="24"/>
          <w:szCs w:val="24"/>
        </w:rPr>
        <w:t>,</w:t>
      </w:r>
      <w:r w:rsidR="00A53ACC" w:rsidRPr="0006276E">
        <w:rPr>
          <w:rFonts w:ascii="Arial" w:hAnsi="Arial" w:cs="Arial"/>
          <w:sz w:val="24"/>
          <w:szCs w:val="24"/>
        </w:rPr>
        <w:t xml:space="preserve"> in the alternative, </w:t>
      </w:r>
      <w:r w:rsidR="00547964">
        <w:rPr>
          <w:rFonts w:ascii="Arial" w:hAnsi="Arial" w:cs="Arial"/>
          <w:sz w:val="24"/>
          <w:szCs w:val="24"/>
        </w:rPr>
        <w:t xml:space="preserve">that </w:t>
      </w:r>
      <w:r w:rsidR="00A53ACC" w:rsidRPr="0006276E">
        <w:rPr>
          <w:rFonts w:ascii="Arial" w:hAnsi="Arial" w:cs="Arial"/>
          <w:sz w:val="24"/>
          <w:szCs w:val="24"/>
        </w:rPr>
        <w:t xml:space="preserve">there is no basis for the development of the common law for which the </w:t>
      </w:r>
      <w:r w:rsidR="00BD4731">
        <w:rPr>
          <w:rFonts w:ascii="Arial" w:hAnsi="Arial" w:cs="Arial"/>
          <w:sz w:val="24"/>
          <w:szCs w:val="24"/>
        </w:rPr>
        <w:t>defendant</w:t>
      </w:r>
      <w:r w:rsidR="002738EE">
        <w:rPr>
          <w:rFonts w:ascii="Arial" w:hAnsi="Arial" w:cs="Arial"/>
          <w:sz w:val="24"/>
          <w:szCs w:val="24"/>
        </w:rPr>
        <w:t>s</w:t>
      </w:r>
      <w:r w:rsidR="00A53ACC" w:rsidRPr="0006276E">
        <w:rPr>
          <w:rFonts w:ascii="Arial" w:hAnsi="Arial" w:cs="Arial"/>
          <w:sz w:val="24"/>
          <w:szCs w:val="24"/>
        </w:rPr>
        <w:t xml:space="preserve"> contend. </w:t>
      </w:r>
      <w:r w:rsidR="0003540C">
        <w:rPr>
          <w:rFonts w:ascii="Arial" w:hAnsi="Arial" w:cs="Arial"/>
          <w:sz w:val="24"/>
          <w:szCs w:val="24"/>
        </w:rPr>
        <w:t xml:space="preserve">The Defendants must establish that the common law principles applicable to abuse of process are formulated in terms that are inconsistent with a particular constitutional right or otherwise inconsistent with the constitutional value system, thereby triggering the duty to develop the common law. </w:t>
      </w:r>
      <w:r w:rsidR="00A53ACC" w:rsidRPr="0006276E">
        <w:rPr>
          <w:rFonts w:ascii="Arial" w:hAnsi="Arial" w:cs="Arial"/>
          <w:sz w:val="24"/>
          <w:szCs w:val="24"/>
        </w:rPr>
        <w:t>The court is not at liberty to develop the common law so as to reformulate the test for an abuse of process by shifting the focus on motive, let alone to regard ulterior purposes on its own as constituting an abuse of process.</w:t>
      </w:r>
    </w:p>
    <w:p w14:paraId="702CCC6E" w14:textId="77777777" w:rsidR="000F045B" w:rsidRPr="0006276E" w:rsidRDefault="000F045B" w:rsidP="000F045B">
      <w:pPr>
        <w:spacing w:after="0" w:line="240" w:lineRule="auto"/>
        <w:jc w:val="both"/>
        <w:rPr>
          <w:rFonts w:ascii="Arial" w:hAnsi="Arial" w:cs="Arial"/>
          <w:b/>
          <w:sz w:val="24"/>
          <w:szCs w:val="24"/>
          <w:u w:val="single"/>
        </w:rPr>
      </w:pPr>
    </w:p>
    <w:p w14:paraId="01AB80DD" w14:textId="77777777" w:rsidR="00A53ACC" w:rsidRDefault="007B2594" w:rsidP="0006276E">
      <w:pPr>
        <w:spacing w:line="480" w:lineRule="auto"/>
        <w:jc w:val="both"/>
        <w:rPr>
          <w:rFonts w:ascii="Arial" w:hAnsi="Arial" w:cs="Arial"/>
          <w:sz w:val="24"/>
          <w:szCs w:val="24"/>
        </w:rPr>
      </w:pPr>
      <w:r>
        <w:rPr>
          <w:rFonts w:ascii="Arial" w:hAnsi="Arial" w:cs="Arial"/>
          <w:sz w:val="24"/>
          <w:szCs w:val="24"/>
        </w:rPr>
        <w:t>[15</w:t>
      </w:r>
      <w:r w:rsidR="00A53ACC" w:rsidRPr="0006276E">
        <w:rPr>
          <w:rFonts w:ascii="Arial" w:hAnsi="Arial" w:cs="Arial"/>
          <w:sz w:val="24"/>
          <w:szCs w:val="24"/>
        </w:rPr>
        <w:t>]</w:t>
      </w:r>
      <w:r w:rsidR="00A53ACC" w:rsidRPr="0006276E">
        <w:rPr>
          <w:rFonts w:ascii="Arial" w:hAnsi="Arial" w:cs="Arial"/>
          <w:sz w:val="24"/>
          <w:szCs w:val="24"/>
        </w:rPr>
        <w:tab/>
        <w:t xml:space="preserve">The </w:t>
      </w:r>
      <w:r w:rsidR="00BD4731">
        <w:rPr>
          <w:rFonts w:ascii="Arial" w:hAnsi="Arial" w:cs="Arial"/>
          <w:sz w:val="24"/>
          <w:szCs w:val="24"/>
        </w:rPr>
        <w:t>defendant</w:t>
      </w:r>
      <w:r w:rsidR="002738EE">
        <w:rPr>
          <w:rFonts w:ascii="Arial" w:hAnsi="Arial" w:cs="Arial"/>
          <w:sz w:val="24"/>
          <w:szCs w:val="24"/>
        </w:rPr>
        <w:t>s</w:t>
      </w:r>
      <w:r w:rsidR="00A53ACC" w:rsidRPr="0006276E">
        <w:rPr>
          <w:rFonts w:ascii="Arial" w:hAnsi="Arial" w:cs="Arial"/>
          <w:sz w:val="24"/>
          <w:szCs w:val="24"/>
        </w:rPr>
        <w:t xml:space="preserve"> concede that an application in terms of the Vexatio</w:t>
      </w:r>
      <w:r w:rsidR="00547964">
        <w:rPr>
          <w:rFonts w:ascii="Arial" w:hAnsi="Arial" w:cs="Arial"/>
          <w:sz w:val="24"/>
          <w:szCs w:val="24"/>
        </w:rPr>
        <w:t>us</w:t>
      </w:r>
      <w:r w:rsidR="00F11918">
        <w:rPr>
          <w:rFonts w:ascii="Arial" w:hAnsi="Arial" w:cs="Arial"/>
          <w:sz w:val="24"/>
          <w:szCs w:val="24"/>
        </w:rPr>
        <w:t xml:space="preserve"> Proceedings Act 3 of 1956 has </w:t>
      </w:r>
      <w:r w:rsidR="00A53ACC" w:rsidRPr="0006276E">
        <w:rPr>
          <w:rFonts w:ascii="Arial" w:hAnsi="Arial" w:cs="Arial"/>
          <w:sz w:val="24"/>
          <w:szCs w:val="24"/>
        </w:rPr>
        <w:t>not</w:t>
      </w:r>
      <w:r w:rsidR="00F11918">
        <w:rPr>
          <w:rFonts w:ascii="Arial" w:hAnsi="Arial" w:cs="Arial"/>
          <w:sz w:val="24"/>
          <w:szCs w:val="24"/>
        </w:rPr>
        <w:t xml:space="preserve"> been</w:t>
      </w:r>
      <w:r w:rsidR="00A53ACC" w:rsidRPr="0006276E">
        <w:rPr>
          <w:rFonts w:ascii="Arial" w:hAnsi="Arial" w:cs="Arial"/>
          <w:sz w:val="24"/>
          <w:szCs w:val="24"/>
        </w:rPr>
        <w:t xml:space="preserve"> pursued in this matter.</w:t>
      </w:r>
      <w:r w:rsidR="00DC54C4">
        <w:rPr>
          <w:rFonts w:ascii="Arial" w:hAnsi="Arial" w:cs="Arial"/>
          <w:sz w:val="24"/>
          <w:szCs w:val="24"/>
        </w:rPr>
        <w:t xml:space="preserve"> </w:t>
      </w:r>
      <w:r w:rsidR="00A53ACC" w:rsidRPr="0006276E">
        <w:rPr>
          <w:rFonts w:ascii="Arial" w:hAnsi="Arial" w:cs="Arial"/>
          <w:sz w:val="24"/>
          <w:szCs w:val="24"/>
        </w:rPr>
        <w:t xml:space="preserve">The </w:t>
      </w:r>
      <w:r w:rsidR="00BD4731">
        <w:rPr>
          <w:rFonts w:ascii="Arial" w:hAnsi="Arial" w:cs="Arial"/>
          <w:sz w:val="24"/>
          <w:szCs w:val="24"/>
        </w:rPr>
        <w:t>defendant</w:t>
      </w:r>
      <w:r w:rsidR="002738EE">
        <w:rPr>
          <w:rFonts w:ascii="Arial" w:hAnsi="Arial" w:cs="Arial"/>
          <w:sz w:val="24"/>
          <w:szCs w:val="24"/>
        </w:rPr>
        <w:t>s</w:t>
      </w:r>
      <w:r w:rsidR="00A53ACC" w:rsidRPr="0006276E">
        <w:rPr>
          <w:rFonts w:ascii="Arial" w:hAnsi="Arial" w:cs="Arial"/>
          <w:sz w:val="24"/>
          <w:szCs w:val="24"/>
        </w:rPr>
        <w:t xml:space="preserve"> contend that for the purposes of exception proceedings, each of the allegations made by them in the special plea must be accepted</w:t>
      </w:r>
      <w:r w:rsidR="00F11918">
        <w:rPr>
          <w:rFonts w:ascii="Arial" w:hAnsi="Arial" w:cs="Arial"/>
          <w:sz w:val="24"/>
          <w:szCs w:val="24"/>
        </w:rPr>
        <w:t>, acknowledged and recognised</w:t>
      </w:r>
      <w:r w:rsidR="00A53ACC" w:rsidRPr="0006276E">
        <w:rPr>
          <w:rFonts w:ascii="Arial" w:hAnsi="Arial" w:cs="Arial"/>
          <w:sz w:val="24"/>
          <w:szCs w:val="24"/>
        </w:rPr>
        <w:t xml:space="preserve"> as correct</w:t>
      </w:r>
      <w:r w:rsidR="00C056D8">
        <w:rPr>
          <w:rStyle w:val="FootnoteReference"/>
          <w:rFonts w:ascii="Arial" w:hAnsi="Arial" w:cs="Arial"/>
          <w:sz w:val="24"/>
          <w:szCs w:val="24"/>
        </w:rPr>
        <w:footnoteReference w:id="11"/>
      </w:r>
      <w:r w:rsidR="00763197">
        <w:rPr>
          <w:rFonts w:ascii="Arial" w:hAnsi="Arial" w:cs="Arial"/>
          <w:sz w:val="24"/>
          <w:szCs w:val="24"/>
        </w:rPr>
        <w:t>.</w:t>
      </w:r>
      <w:r w:rsidR="00A53ACC" w:rsidRPr="0006276E">
        <w:rPr>
          <w:rFonts w:ascii="Arial" w:hAnsi="Arial" w:cs="Arial"/>
          <w:sz w:val="24"/>
          <w:szCs w:val="24"/>
        </w:rPr>
        <w:t xml:space="preserve"> </w:t>
      </w:r>
      <w:r w:rsidR="00763197">
        <w:rPr>
          <w:rFonts w:ascii="Arial" w:hAnsi="Arial" w:cs="Arial"/>
          <w:sz w:val="24"/>
          <w:szCs w:val="24"/>
        </w:rPr>
        <w:t xml:space="preserve"> </w:t>
      </w:r>
      <w:r w:rsidR="00A53ACC" w:rsidRPr="0006276E">
        <w:rPr>
          <w:rFonts w:ascii="Arial" w:hAnsi="Arial" w:cs="Arial"/>
          <w:sz w:val="24"/>
          <w:szCs w:val="24"/>
        </w:rPr>
        <w:t xml:space="preserve">Thus it must be accepted that the mining companies do not honestly believe that they have any prospect of recovering the </w:t>
      </w:r>
      <w:r w:rsidR="00F11918">
        <w:rPr>
          <w:rFonts w:ascii="Arial" w:hAnsi="Arial" w:cs="Arial"/>
          <w:sz w:val="24"/>
          <w:szCs w:val="24"/>
        </w:rPr>
        <w:t>quantum</w:t>
      </w:r>
      <w:r w:rsidR="00A53ACC" w:rsidRPr="0006276E">
        <w:rPr>
          <w:rFonts w:ascii="Arial" w:hAnsi="Arial" w:cs="Arial"/>
          <w:sz w:val="24"/>
          <w:szCs w:val="24"/>
        </w:rPr>
        <w:t xml:space="preserve"> of damages claimed by the </w:t>
      </w:r>
      <w:r w:rsidR="00BD4731">
        <w:rPr>
          <w:rFonts w:ascii="Arial" w:hAnsi="Arial" w:cs="Arial"/>
          <w:sz w:val="24"/>
          <w:szCs w:val="24"/>
        </w:rPr>
        <w:t>defendant</w:t>
      </w:r>
      <w:r w:rsidR="002738EE">
        <w:rPr>
          <w:rFonts w:ascii="Arial" w:hAnsi="Arial" w:cs="Arial"/>
          <w:sz w:val="24"/>
          <w:szCs w:val="24"/>
        </w:rPr>
        <w:t>s</w:t>
      </w:r>
      <w:r w:rsidR="00A53ACC" w:rsidRPr="0006276E">
        <w:rPr>
          <w:rFonts w:ascii="Arial" w:hAnsi="Arial" w:cs="Arial"/>
          <w:sz w:val="24"/>
          <w:szCs w:val="24"/>
        </w:rPr>
        <w:t xml:space="preserve">, as well as the motives as enumerated by the </w:t>
      </w:r>
      <w:r w:rsidR="00BD4731">
        <w:rPr>
          <w:rFonts w:ascii="Arial" w:hAnsi="Arial" w:cs="Arial"/>
          <w:sz w:val="24"/>
          <w:szCs w:val="24"/>
        </w:rPr>
        <w:t>defendant</w:t>
      </w:r>
      <w:r w:rsidR="002738EE">
        <w:rPr>
          <w:rFonts w:ascii="Arial" w:hAnsi="Arial" w:cs="Arial"/>
          <w:sz w:val="24"/>
          <w:szCs w:val="24"/>
        </w:rPr>
        <w:t>s</w:t>
      </w:r>
      <w:r w:rsidR="00A53ACC" w:rsidRPr="0006276E">
        <w:rPr>
          <w:rFonts w:ascii="Arial" w:hAnsi="Arial" w:cs="Arial"/>
          <w:sz w:val="24"/>
          <w:szCs w:val="24"/>
        </w:rPr>
        <w:t>.</w:t>
      </w:r>
      <w:r w:rsidR="00522A74">
        <w:rPr>
          <w:rFonts w:ascii="Arial" w:hAnsi="Arial" w:cs="Arial"/>
          <w:sz w:val="24"/>
          <w:szCs w:val="24"/>
        </w:rPr>
        <w:t xml:space="preserve">  </w:t>
      </w:r>
      <w:r w:rsidR="00522A74" w:rsidRPr="0006276E">
        <w:rPr>
          <w:rFonts w:ascii="Arial" w:hAnsi="Arial" w:cs="Arial"/>
          <w:sz w:val="24"/>
          <w:szCs w:val="24"/>
        </w:rPr>
        <w:t xml:space="preserve">It is common cause between the parties that, in determining the exceptions, the allegations pleaded in the </w:t>
      </w:r>
      <w:r w:rsidR="00BD4731">
        <w:rPr>
          <w:rFonts w:ascii="Arial" w:hAnsi="Arial" w:cs="Arial"/>
          <w:sz w:val="24"/>
          <w:szCs w:val="24"/>
        </w:rPr>
        <w:t>defendant</w:t>
      </w:r>
      <w:r w:rsidR="002738EE">
        <w:rPr>
          <w:rFonts w:ascii="Arial" w:hAnsi="Arial" w:cs="Arial"/>
          <w:sz w:val="24"/>
          <w:szCs w:val="24"/>
        </w:rPr>
        <w:t>s</w:t>
      </w:r>
      <w:r w:rsidR="00522A74">
        <w:rPr>
          <w:rFonts w:ascii="Arial" w:hAnsi="Arial" w:cs="Arial"/>
          <w:sz w:val="24"/>
          <w:szCs w:val="24"/>
        </w:rPr>
        <w:t>’</w:t>
      </w:r>
      <w:r w:rsidR="00522A74" w:rsidRPr="0006276E">
        <w:rPr>
          <w:rFonts w:ascii="Arial" w:hAnsi="Arial" w:cs="Arial"/>
          <w:sz w:val="24"/>
          <w:szCs w:val="24"/>
        </w:rPr>
        <w:t xml:space="preserve"> special pleas regarding the mining companies’ purpose must be accepted as true.</w:t>
      </w:r>
    </w:p>
    <w:p w14:paraId="2B7B5D27" w14:textId="77777777" w:rsidR="0006276E" w:rsidRPr="0006276E" w:rsidRDefault="0006276E" w:rsidP="00A74302">
      <w:pPr>
        <w:spacing w:after="0" w:line="240" w:lineRule="auto"/>
        <w:jc w:val="both"/>
        <w:rPr>
          <w:rFonts w:ascii="Arial" w:hAnsi="Arial" w:cs="Arial"/>
          <w:sz w:val="24"/>
          <w:szCs w:val="24"/>
        </w:rPr>
      </w:pPr>
    </w:p>
    <w:p w14:paraId="36B163DB" w14:textId="77777777" w:rsidR="002B425B" w:rsidRDefault="00A53ACC" w:rsidP="0006276E">
      <w:pPr>
        <w:spacing w:line="480" w:lineRule="auto"/>
        <w:jc w:val="both"/>
        <w:rPr>
          <w:rFonts w:ascii="Arial" w:hAnsi="Arial" w:cs="Arial"/>
          <w:sz w:val="24"/>
          <w:szCs w:val="24"/>
        </w:rPr>
      </w:pPr>
      <w:r w:rsidRPr="0006276E">
        <w:rPr>
          <w:rFonts w:ascii="Arial" w:hAnsi="Arial" w:cs="Arial"/>
          <w:sz w:val="24"/>
          <w:szCs w:val="24"/>
        </w:rPr>
        <w:lastRenderedPageBreak/>
        <w:t>[1</w:t>
      </w:r>
      <w:r w:rsidR="007B2594">
        <w:rPr>
          <w:rFonts w:ascii="Arial" w:hAnsi="Arial" w:cs="Arial"/>
          <w:sz w:val="24"/>
          <w:szCs w:val="24"/>
        </w:rPr>
        <w:t>6</w:t>
      </w:r>
      <w:r w:rsidRPr="0006276E">
        <w:rPr>
          <w:rFonts w:ascii="Arial" w:hAnsi="Arial" w:cs="Arial"/>
          <w:sz w:val="24"/>
          <w:szCs w:val="24"/>
        </w:rPr>
        <w:t>]</w:t>
      </w:r>
      <w:r w:rsidRPr="0006276E">
        <w:rPr>
          <w:rFonts w:ascii="Arial" w:hAnsi="Arial" w:cs="Arial"/>
          <w:sz w:val="24"/>
          <w:szCs w:val="24"/>
        </w:rPr>
        <w:tab/>
        <w:t xml:space="preserve">The </w:t>
      </w:r>
      <w:r w:rsidR="002F4EC4">
        <w:rPr>
          <w:rFonts w:ascii="Arial" w:hAnsi="Arial" w:cs="Arial"/>
          <w:sz w:val="24"/>
          <w:szCs w:val="24"/>
        </w:rPr>
        <w:t>d</w:t>
      </w:r>
      <w:r w:rsidR="00BD4731">
        <w:rPr>
          <w:rFonts w:ascii="Arial" w:hAnsi="Arial" w:cs="Arial"/>
          <w:sz w:val="24"/>
          <w:szCs w:val="24"/>
        </w:rPr>
        <w:t>efendant</w:t>
      </w:r>
      <w:r w:rsidR="002738EE">
        <w:rPr>
          <w:rFonts w:ascii="Arial" w:hAnsi="Arial" w:cs="Arial"/>
          <w:sz w:val="24"/>
          <w:szCs w:val="24"/>
        </w:rPr>
        <w:t>s</w:t>
      </w:r>
      <w:r w:rsidRPr="0006276E">
        <w:rPr>
          <w:rFonts w:ascii="Arial" w:hAnsi="Arial" w:cs="Arial"/>
          <w:sz w:val="24"/>
          <w:szCs w:val="24"/>
        </w:rPr>
        <w:t xml:space="preserve"> referred to various decisions</w:t>
      </w:r>
      <w:r w:rsidR="0066464B">
        <w:rPr>
          <w:rStyle w:val="FootnoteReference"/>
          <w:rFonts w:ascii="Arial" w:hAnsi="Arial" w:cs="Arial"/>
          <w:sz w:val="24"/>
          <w:szCs w:val="24"/>
        </w:rPr>
        <w:footnoteReference w:id="12"/>
      </w:r>
      <w:r w:rsidRPr="0006276E">
        <w:rPr>
          <w:rFonts w:ascii="Arial" w:hAnsi="Arial" w:cs="Arial"/>
          <w:sz w:val="24"/>
          <w:szCs w:val="24"/>
        </w:rPr>
        <w:t xml:space="preserve"> of our courts that make it expressly clear that motive/purpose is relevant to the abuse of process doctrine. The</w:t>
      </w:r>
      <w:r w:rsidR="00CF291D">
        <w:rPr>
          <w:rFonts w:ascii="Arial" w:hAnsi="Arial" w:cs="Arial"/>
          <w:sz w:val="24"/>
          <w:szCs w:val="24"/>
        </w:rPr>
        <w:t>y argued that the</w:t>
      </w:r>
      <w:r w:rsidRPr="0006276E">
        <w:rPr>
          <w:rFonts w:ascii="Arial" w:hAnsi="Arial" w:cs="Arial"/>
          <w:sz w:val="24"/>
          <w:szCs w:val="24"/>
        </w:rPr>
        <w:t xml:space="preserve"> mining companies failed to produce any authority which supports the proposition </w:t>
      </w:r>
      <w:r w:rsidR="00F11918">
        <w:rPr>
          <w:rFonts w:ascii="Arial" w:hAnsi="Arial" w:cs="Arial"/>
          <w:sz w:val="24"/>
          <w:szCs w:val="24"/>
        </w:rPr>
        <w:t xml:space="preserve">and contention </w:t>
      </w:r>
      <w:r w:rsidRPr="0006276E">
        <w:rPr>
          <w:rFonts w:ascii="Arial" w:hAnsi="Arial" w:cs="Arial"/>
          <w:sz w:val="24"/>
          <w:szCs w:val="24"/>
        </w:rPr>
        <w:t xml:space="preserve">that the motive behind the initiation of a legally valid claim is generally irrelevant in </w:t>
      </w:r>
      <w:r w:rsidR="001768AD" w:rsidRPr="0006276E">
        <w:rPr>
          <w:rFonts w:ascii="Arial" w:hAnsi="Arial" w:cs="Arial"/>
          <w:sz w:val="24"/>
          <w:szCs w:val="24"/>
        </w:rPr>
        <w:t>S</w:t>
      </w:r>
      <w:r w:rsidRPr="0006276E">
        <w:rPr>
          <w:rFonts w:ascii="Arial" w:hAnsi="Arial" w:cs="Arial"/>
          <w:sz w:val="24"/>
          <w:szCs w:val="24"/>
        </w:rPr>
        <w:t>outh African law.</w:t>
      </w:r>
      <w:r w:rsidR="001768AD" w:rsidRPr="0006276E">
        <w:rPr>
          <w:rFonts w:ascii="Arial" w:hAnsi="Arial" w:cs="Arial"/>
          <w:sz w:val="24"/>
          <w:szCs w:val="24"/>
        </w:rPr>
        <w:t xml:space="preserve"> </w:t>
      </w:r>
      <w:r w:rsidR="00BD4731">
        <w:rPr>
          <w:rFonts w:ascii="Arial" w:hAnsi="Arial" w:cs="Arial"/>
          <w:sz w:val="24"/>
          <w:szCs w:val="24"/>
        </w:rPr>
        <w:t>Defendant</w:t>
      </w:r>
      <w:r w:rsidR="002738EE">
        <w:rPr>
          <w:rFonts w:ascii="Arial" w:hAnsi="Arial" w:cs="Arial"/>
          <w:sz w:val="24"/>
          <w:szCs w:val="24"/>
        </w:rPr>
        <w:t>s</w:t>
      </w:r>
      <w:r w:rsidR="00391921">
        <w:rPr>
          <w:rFonts w:ascii="Arial" w:hAnsi="Arial" w:cs="Arial"/>
          <w:sz w:val="24"/>
          <w:szCs w:val="24"/>
        </w:rPr>
        <w:t xml:space="preserve"> therefore contend</w:t>
      </w:r>
      <w:r w:rsidR="001768AD" w:rsidRPr="0006276E">
        <w:rPr>
          <w:rFonts w:ascii="Arial" w:hAnsi="Arial" w:cs="Arial"/>
          <w:sz w:val="24"/>
          <w:szCs w:val="24"/>
        </w:rPr>
        <w:t xml:space="preserve"> that the motive or p</w:t>
      </w:r>
      <w:r w:rsidR="00742B8F">
        <w:rPr>
          <w:rFonts w:ascii="Arial" w:hAnsi="Arial" w:cs="Arial"/>
          <w:sz w:val="24"/>
          <w:szCs w:val="24"/>
        </w:rPr>
        <w:t>urpose of the litigation is in f</w:t>
      </w:r>
      <w:r w:rsidR="001768AD" w:rsidRPr="0006276E">
        <w:rPr>
          <w:rFonts w:ascii="Arial" w:hAnsi="Arial" w:cs="Arial"/>
          <w:sz w:val="24"/>
          <w:szCs w:val="24"/>
        </w:rPr>
        <w:t>act relevant to abuse of process under our existing common law.</w:t>
      </w:r>
      <w:r w:rsidR="002B425B">
        <w:rPr>
          <w:rFonts w:ascii="Arial" w:hAnsi="Arial" w:cs="Arial"/>
          <w:sz w:val="24"/>
          <w:szCs w:val="24"/>
        </w:rPr>
        <w:t xml:space="preserve"> The plaintiffs argued that the cases referred to concerns an abuse of the court’s procedure for a purpose extraneous to their objectives, which is not analogous to this matter. In the present instance, the issues does not concern abuse of procedures, but with the question of when an abuse of process constitutes a defence to a substantive claim.</w:t>
      </w:r>
    </w:p>
    <w:p w14:paraId="4E50AC5D" w14:textId="77777777" w:rsidR="00286C7B" w:rsidRDefault="007B2594" w:rsidP="0006276E">
      <w:pPr>
        <w:spacing w:line="480" w:lineRule="auto"/>
        <w:jc w:val="both"/>
        <w:rPr>
          <w:rFonts w:ascii="Arial" w:hAnsi="Arial" w:cs="Arial"/>
          <w:sz w:val="24"/>
          <w:szCs w:val="24"/>
        </w:rPr>
      </w:pPr>
      <w:r>
        <w:rPr>
          <w:rFonts w:ascii="Arial" w:hAnsi="Arial" w:cs="Arial"/>
          <w:sz w:val="24"/>
          <w:szCs w:val="24"/>
        </w:rPr>
        <w:t>[17</w:t>
      </w:r>
      <w:r w:rsidR="00286C7B">
        <w:rPr>
          <w:rFonts w:ascii="Arial" w:hAnsi="Arial" w:cs="Arial"/>
          <w:sz w:val="24"/>
          <w:szCs w:val="24"/>
        </w:rPr>
        <w:t>]</w:t>
      </w:r>
      <w:r w:rsidR="00286C7B">
        <w:rPr>
          <w:rFonts w:ascii="Arial" w:hAnsi="Arial" w:cs="Arial"/>
          <w:sz w:val="24"/>
          <w:szCs w:val="24"/>
        </w:rPr>
        <w:tab/>
        <w:t>Defendant</w:t>
      </w:r>
      <w:r w:rsidR="00DC3D9A">
        <w:rPr>
          <w:rFonts w:ascii="Arial" w:hAnsi="Arial" w:cs="Arial"/>
          <w:sz w:val="24"/>
          <w:szCs w:val="24"/>
        </w:rPr>
        <w:t>s contend</w:t>
      </w:r>
      <w:r w:rsidR="00286C7B">
        <w:rPr>
          <w:rFonts w:ascii="Arial" w:hAnsi="Arial" w:cs="Arial"/>
          <w:sz w:val="24"/>
          <w:szCs w:val="24"/>
        </w:rPr>
        <w:t xml:space="preserve"> that </w:t>
      </w:r>
      <w:r w:rsidR="00EF34B6">
        <w:rPr>
          <w:rFonts w:ascii="Arial" w:hAnsi="Arial" w:cs="Arial"/>
          <w:sz w:val="24"/>
          <w:szCs w:val="24"/>
        </w:rPr>
        <w:t xml:space="preserve">the questions of improper motive </w:t>
      </w:r>
      <w:r w:rsidR="00DC3D9A">
        <w:rPr>
          <w:rFonts w:ascii="Arial" w:hAnsi="Arial" w:cs="Arial"/>
          <w:sz w:val="24"/>
          <w:szCs w:val="24"/>
        </w:rPr>
        <w:t>do</w:t>
      </w:r>
      <w:r w:rsidR="00EF34B6">
        <w:rPr>
          <w:rFonts w:ascii="Arial" w:hAnsi="Arial" w:cs="Arial"/>
          <w:sz w:val="24"/>
          <w:szCs w:val="24"/>
        </w:rPr>
        <w:t xml:space="preserve"> not appear to have been at issue in </w:t>
      </w:r>
      <w:proofErr w:type="spellStart"/>
      <w:r w:rsidR="00EF34B6" w:rsidRPr="00340231">
        <w:rPr>
          <w:rFonts w:ascii="Arial" w:hAnsi="Arial" w:cs="Arial"/>
          <w:b/>
          <w:sz w:val="24"/>
          <w:szCs w:val="24"/>
        </w:rPr>
        <w:t>Maphanga</w:t>
      </w:r>
      <w:proofErr w:type="spellEnd"/>
      <w:r w:rsidR="00EF34B6">
        <w:rPr>
          <w:rFonts w:ascii="Arial" w:hAnsi="Arial" w:cs="Arial"/>
          <w:sz w:val="24"/>
          <w:szCs w:val="24"/>
        </w:rPr>
        <w:t>. The court did not purport to hold that motive or purpose of litigation was irrelevant to debates ab</w:t>
      </w:r>
      <w:r w:rsidR="00F11918">
        <w:rPr>
          <w:rFonts w:ascii="Arial" w:hAnsi="Arial" w:cs="Arial"/>
          <w:sz w:val="24"/>
          <w:szCs w:val="24"/>
        </w:rPr>
        <w:t>out abuse of process. S</w:t>
      </w:r>
      <w:r w:rsidR="00EF34B6">
        <w:rPr>
          <w:rFonts w:ascii="Arial" w:hAnsi="Arial" w:cs="Arial"/>
          <w:sz w:val="24"/>
          <w:szCs w:val="24"/>
        </w:rPr>
        <w:t xml:space="preserve">uch a conclusion would </w:t>
      </w:r>
      <w:r w:rsidR="00340231">
        <w:rPr>
          <w:rFonts w:ascii="Arial" w:hAnsi="Arial" w:cs="Arial"/>
          <w:sz w:val="24"/>
          <w:szCs w:val="24"/>
        </w:rPr>
        <w:t xml:space="preserve">in any event </w:t>
      </w:r>
      <w:r w:rsidR="00EF34B6">
        <w:rPr>
          <w:rFonts w:ascii="Arial" w:hAnsi="Arial" w:cs="Arial"/>
          <w:sz w:val="24"/>
          <w:szCs w:val="24"/>
        </w:rPr>
        <w:t>have been inconsistent with a number of court decision</w:t>
      </w:r>
      <w:r w:rsidR="00F11918">
        <w:rPr>
          <w:rFonts w:ascii="Arial" w:hAnsi="Arial" w:cs="Arial"/>
          <w:sz w:val="24"/>
          <w:szCs w:val="24"/>
        </w:rPr>
        <w:t xml:space="preserve">s in the higher courts such as the </w:t>
      </w:r>
      <w:r w:rsidR="00EF34B6">
        <w:rPr>
          <w:rFonts w:ascii="Arial" w:hAnsi="Arial" w:cs="Arial"/>
          <w:sz w:val="24"/>
          <w:szCs w:val="24"/>
        </w:rPr>
        <w:t>SCA and Constitutional Court.</w:t>
      </w:r>
    </w:p>
    <w:p w14:paraId="07F14388" w14:textId="77777777" w:rsidR="001D6BDC" w:rsidRPr="0006276E" w:rsidRDefault="001D6BDC" w:rsidP="001D6BDC">
      <w:pPr>
        <w:spacing w:after="0" w:line="240" w:lineRule="auto"/>
        <w:jc w:val="both"/>
        <w:rPr>
          <w:rFonts w:ascii="Arial" w:hAnsi="Arial" w:cs="Arial"/>
          <w:sz w:val="24"/>
          <w:szCs w:val="24"/>
        </w:rPr>
      </w:pPr>
    </w:p>
    <w:p w14:paraId="4DB8606B" w14:textId="77777777" w:rsidR="001768AD" w:rsidRPr="0006276E" w:rsidRDefault="007B2594" w:rsidP="0006276E">
      <w:pPr>
        <w:spacing w:line="480" w:lineRule="auto"/>
        <w:jc w:val="both"/>
        <w:rPr>
          <w:rFonts w:ascii="Arial" w:hAnsi="Arial" w:cs="Arial"/>
          <w:sz w:val="24"/>
          <w:szCs w:val="24"/>
        </w:rPr>
      </w:pPr>
      <w:r>
        <w:rPr>
          <w:rFonts w:ascii="Arial" w:hAnsi="Arial" w:cs="Arial"/>
          <w:sz w:val="24"/>
          <w:szCs w:val="24"/>
        </w:rPr>
        <w:t>[18</w:t>
      </w:r>
      <w:r w:rsidR="001768AD" w:rsidRPr="0006276E">
        <w:rPr>
          <w:rFonts w:ascii="Arial" w:hAnsi="Arial" w:cs="Arial"/>
          <w:sz w:val="24"/>
          <w:szCs w:val="24"/>
        </w:rPr>
        <w:t>]</w:t>
      </w:r>
      <w:r w:rsidR="001768AD" w:rsidRPr="0006276E">
        <w:rPr>
          <w:rFonts w:ascii="Arial" w:hAnsi="Arial" w:cs="Arial"/>
          <w:sz w:val="24"/>
          <w:szCs w:val="24"/>
        </w:rPr>
        <w:tab/>
        <w:t xml:space="preserve">The </w:t>
      </w:r>
      <w:r w:rsidR="002F4EC4">
        <w:rPr>
          <w:rFonts w:ascii="Arial" w:hAnsi="Arial" w:cs="Arial"/>
          <w:sz w:val="24"/>
          <w:szCs w:val="24"/>
        </w:rPr>
        <w:t>d</w:t>
      </w:r>
      <w:r w:rsidR="00BD4731">
        <w:rPr>
          <w:rFonts w:ascii="Arial" w:hAnsi="Arial" w:cs="Arial"/>
          <w:sz w:val="24"/>
          <w:szCs w:val="24"/>
        </w:rPr>
        <w:t>efendant</w:t>
      </w:r>
      <w:r w:rsidR="002738EE">
        <w:rPr>
          <w:rFonts w:ascii="Arial" w:hAnsi="Arial" w:cs="Arial"/>
          <w:sz w:val="24"/>
          <w:szCs w:val="24"/>
        </w:rPr>
        <w:t>s</w:t>
      </w:r>
      <w:r w:rsidR="001768AD" w:rsidRPr="0006276E">
        <w:rPr>
          <w:rFonts w:ascii="Arial" w:hAnsi="Arial" w:cs="Arial"/>
          <w:sz w:val="24"/>
          <w:szCs w:val="24"/>
        </w:rPr>
        <w:t xml:space="preserve"> submit that on the existing common law, firstly the purpose of the litigation is relevant to abuse of process, and secondly, the purpose of intimidating and silencing public criticism is an impermissible one. Consequently, on the existing common law, the exception to the first special plea must be dismissed.</w:t>
      </w:r>
      <w:r w:rsidR="00DC54C4">
        <w:rPr>
          <w:rFonts w:ascii="Arial" w:hAnsi="Arial" w:cs="Arial"/>
          <w:sz w:val="24"/>
          <w:szCs w:val="24"/>
        </w:rPr>
        <w:t xml:space="preserve"> </w:t>
      </w:r>
      <w:r w:rsidR="001768AD" w:rsidRPr="0006276E">
        <w:rPr>
          <w:rFonts w:ascii="Arial" w:hAnsi="Arial" w:cs="Arial"/>
          <w:sz w:val="24"/>
          <w:szCs w:val="24"/>
        </w:rPr>
        <w:t xml:space="preserve">The mining companies have not sought interdicts against the impugned expression, but instead </w:t>
      </w:r>
      <w:r w:rsidR="001768AD" w:rsidRPr="0006276E">
        <w:rPr>
          <w:rFonts w:ascii="Arial" w:hAnsi="Arial" w:cs="Arial"/>
          <w:sz w:val="24"/>
          <w:szCs w:val="24"/>
        </w:rPr>
        <w:lastRenderedPageBreak/>
        <w:t>seek to achieve the same result v</w:t>
      </w:r>
      <w:r w:rsidR="00742B8F">
        <w:rPr>
          <w:rFonts w:ascii="Arial" w:hAnsi="Arial" w:cs="Arial"/>
          <w:sz w:val="24"/>
          <w:szCs w:val="24"/>
        </w:rPr>
        <w:t>ia the back door, by instituting a series</w:t>
      </w:r>
      <w:r w:rsidR="001768AD" w:rsidRPr="0006276E">
        <w:rPr>
          <w:rFonts w:ascii="Arial" w:hAnsi="Arial" w:cs="Arial"/>
          <w:sz w:val="24"/>
          <w:szCs w:val="24"/>
        </w:rPr>
        <w:t xml:space="preserve"> of damages claims, with the purpose of intimidating and silencing public criticism by the relevant </w:t>
      </w:r>
      <w:r w:rsidR="00BD4731">
        <w:rPr>
          <w:rFonts w:ascii="Arial" w:hAnsi="Arial" w:cs="Arial"/>
          <w:sz w:val="24"/>
          <w:szCs w:val="24"/>
        </w:rPr>
        <w:t>defendant</w:t>
      </w:r>
      <w:r w:rsidR="002738EE">
        <w:rPr>
          <w:rFonts w:ascii="Arial" w:hAnsi="Arial" w:cs="Arial"/>
          <w:sz w:val="24"/>
          <w:szCs w:val="24"/>
        </w:rPr>
        <w:t>s</w:t>
      </w:r>
      <w:r w:rsidR="001768AD" w:rsidRPr="0006276E">
        <w:rPr>
          <w:rFonts w:ascii="Arial" w:hAnsi="Arial" w:cs="Arial"/>
          <w:sz w:val="24"/>
          <w:szCs w:val="24"/>
        </w:rPr>
        <w:t>, civil society, the public and the media.</w:t>
      </w:r>
      <w:r w:rsidR="00BA6F5C">
        <w:rPr>
          <w:rFonts w:ascii="Arial" w:hAnsi="Arial" w:cs="Arial"/>
          <w:sz w:val="24"/>
          <w:szCs w:val="24"/>
        </w:rPr>
        <w:t xml:space="preserve">  According to </w:t>
      </w:r>
      <w:r w:rsidR="00BD4731">
        <w:rPr>
          <w:rFonts w:ascii="Arial" w:hAnsi="Arial" w:cs="Arial"/>
          <w:sz w:val="24"/>
          <w:szCs w:val="24"/>
        </w:rPr>
        <w:t>defendant</w:t>
      </w:r>
      <w:r w:rsidR="002738EE">
        <w:rPr>
          <w:rFonts w:ascii="Arial" w:hAnsi="Arial" w:cs="Arial"/>
          <w:sz w:val="24"/>
          <w:szCs w:val="24"/>
        </w:rPr>
        <w:t>s</w:t>
      </w:r>
      <w:r w:rsidR="00BA6F5C">
        <w:rPr>
          <w:rFonts w:ascii="Arial" w:hAnsi="Arial" w:cs="Arial"/>
          <w:sz w:val="24"/>
          <w:szCs w:val="24"/>
        </w:rPr>
        <w:t xml:space="preserve"> t</w:t>
      </w:r>
      <w:r w:rsidR="00BA6F5C" w:rsidRPr="0006276E">
        <w:rPr>
          <w:rFonts w:ascii="Arial" w:hAnsi="Arial" w:cs="Arial"/>
          <w:sz w:val="24"/>
          <w:szCs w:val="24"/>
        </w:rPr>
        <w:t>he conduct pleaded forms part of a pattern of conduct by the mining companies in which they seek to bring defamation actions for these purposes.</w:t>
      </w:r>
      <w:r w:rsidR="00BA6F5C">
        <w:rPr>
          <w:rFonts w:ascii="Arial" w:hAnsi="Arial" w:cs="Arial"/>
          <w:sz w:val="24"/>
          <w:szCs w:val="24"/>
        </w:rPr>
        <w:t xml:space="preserve"> </w:t>
      </w:r>
    </w:p>
    <w:p w14:paraId="3557C290" w14:textId="77777777" w:rsidR="00D326D6" w:rsidRPr="0006276E" w:rsidRDefault="00D326D6" w:rsidP="00A31D83">
      <w:pPr>
        <w:spacing w:after="0" w:line="240" w:lineRule="auto"/>
        <w:jc w:val="both"/>
        <w:rPr>
          <w:rFonts w:ascii="Arial" w:hAnsi="Arial" w:cs="Arial"/>
          <w:sz w:val="24"/>
          <w:szCs w:val="24"/>
        </w:rPr>
      </w:pPr>
    </w:p>
    <w:p w14:paraId="02CFD20D" w14:textId="77777777" w:rsidR="00D326D6" w:rsidRPr="0006276E" w:rsidRDefault="007B2594" w:rsidP="0006276E">
      <w:pPr>
        <w:spacing w:line="480" w:lineRule="auto"/>
        <w:jc w:val="both"/>
        <w:rPr>
          <w:rFonts w:ascii="Arial" w:hAnsi="Arial" w:cs="Arial"/>
          <w:sz w:val="24"/>
          <w:szCs w:val="24"/>
        </w:rPr>
      </w:pPr>
      <w:r>
        <w:rPr>
          <w:rFonts w:ascii="Arial" w:hAnsi="Arial" w:cs="Arial"/>
          <w:sz w:val="24"/>
          <w:szCs w:val="24"/>
        </w:rPr>
        <w:t>[19</w:t>
      </w:r>
      <w:r w:rsidR="00D326D6" w:rsidRPr="0006276E">
        <w:rPr>
          <w:rFonts w:ascii="Arial" w:hAnsi="Arial" w:cs="Arial"/>
          <w:sz w:val="24"/>
          <w:szCs w:val="24"/>
        </w:rPr>
        <w:t>]</w:t>
      </w:r>
      <w:r w:rsidR="00D326D6" w:rsidRPr="0006276E">
        <w:rPr>
          <w:rFonts w:ascii="Arial" w:hAnsi="Arial" w:cs="Arial"/>
          <w:sz w:val="24"/>
          <w:szCs w:val="24"/>
        </w:rPr>
        <w:tab/>
        <w:t xml:space="preserve">The </w:t>
      </w:r>
      <w:r w:rsidR="002F4EC4">
        <w:rPr>
          <w:rFonts w:ascii="Arial" w:hAnsi="Arial" w:cs="Arial"/>
          <w:sz w:val="24"/>
          <w:szCs w:val="24"/>
        </w:rPr>
        <w:t>d</w:t>
      </w:r>
      <w:r w:rsidR="00BD4731">
        <w:rPr>
          <w:rFonts w:ascii="Arial" w:hAnsi="Arial" w:cs="Arial"/>
          <w:sz w:val="24"/>
          <w:szCs w:val="24"/>
        </w:rPr>
        <w:t>efendant</w:t>
      </w:r>
      <w:r w:rsidR="002738EE">
        <w:rPr>
          <w:rFonts w:ascii="Arial" w:hAnsi="Arial" w:cs="Arial"/>
          <w:sz w:val="24"/>
          <w:szCs w:val="24"/>
        </w:rPr>
        <w:t>s</w:t>
      </w:r>
      <w:r w:rsidR="00D326D6" w:rsidRPr="0006276E">
        <w:rPr>
          <w:rFonts w:ascii="Arial" w:hAnsi="Arial" w:cs="Arial"/>
          <w:sz w:val="24"/>
          <w:szCs w:val="24"/>
        </w:rPr>
        <w:t xml:space="preserve"> referred to </w:t>
      </w:r>
      <w:r w:rsidR="00D326D6" w:rsidRPr="0025216C">
        <w:rPr>
          <w:rFonts w:ascii="Arial" w:hAnsi="Arial" w:cs="Arial"/>
          <w:b/>
          <w:sz w:val="24"/>
          <w:szCs w:val="24"/>
        </w:rPr>
        <w:t xml:space="preserve">Company Secretary of </w:t>
      </w:r>
      <w:proofErr w:type="spellStart"/>
      <w:r w:rsidR="00D326D6" w:rsidRPr="0025216C">
        <w:rPr>
          <w:rFonts w:ascii="Arial" w:hAnsi="Arial" w:cs="Arial"/>
          <w:b/>
          <w:sz w:val="24"/>
          <w:szCs w:val="24"/>
        </w:rPr>
        <w:t>Arcelormittal</w:t>
      </w:r>
      <w:proofErr w:type="spellEnd"/>
      <w:r w:rsidR="00D326D6" w:rsidRPr="0025216C">
        <w:rPr>
          <w:rFonts w:ascii="Arial" w:hAnsi="Arial" w:cs="Arial"/>
          <w:b/>
          <w:sz w:val="24"/>
          <w:szCs w:val="24"/>
        </w:rPr>
        <w:t xml:space="preserve"> S</w:t>
      </w:r>
      <w:r w:rsidR="00742B8F">
        <w:rPr>
          <w:rFonts w:ascii="Arial" w:hAnsi="Arial" w:cs="Arial"/>
          <w:b/>
          <w:sz w:val="24"/>
          <w:szCs w:val="24"/>
        </w:rPr>
        <w:t xml:space="preserve">outh Africa </w:t>
      </w:r>
      <w:r w:rsidR="00F11918">
        <w:rPr>
          <w:rFonts w:ascii="Arial" w:hAnsi="Arial" w:cs="Arial"/>
          <w:b/>
          <w:sz w:val="24"/>
          <w:szCs w:val="24"/>
        </w:rPr>
        <w:t xml:space="preserve">Ltd </w:t>
      </w:r>
      <w:r w:rsidR="00742B8F">
        <w:rPr>
          <w:rFonts w:ascii="Arial" w:hAnsi="Arial" w:cs="Arial"/>
          <w:b/>
          <w:sz w:val="24"/>
          <w:szCs w:val="24"/>
        </w:rPr>
        <w:t>and Another v Vaal E</w:t>
      </w:r>
      <w:r w:rsidR="00D326D6" w:rsidRPr="0025216C">
        <w:rPr>
          <w:rFonts w:ascii="Arial" w:hAnsi="Arial" w:cs="Arial"/>
          <w:b/>
          <w:sz w:val="24"/>
          <w:szCs w:val="24"/>
        </w:rPr>
        <w:t xml:space="preserve">nvironmental </w:t>
      </w:r>
      <w:r w:rsidR="00DC54C4" w:rsidRPr="0025216C">
        <w:rPr>
          <w:rFonts w:ascii="Arial" w:hAnsi="Arial" w:cs="Arial"/>
          <w:b/>
          <w:sz w:val="24"/>
          <w:szCs w:val="24"/>
        </w:rPr>
        <w:t>J</w:t>
      </w:r>
      <w:r w:rsidR="00D326D6" w:rsidRPr="0025216C">
        <w:rPr>
          <w:rFonts w:ascii="Arial" w:hAnsi="Arial" w:cs="Arial"/>
          <w:b/>
          <w:sz w:val="24"/>
          <w:szCs w:val="24"/>
        </w:rPr>
        <w:t>ustice Alliance</w:t>
      </w:r>
      <w:r w:rsidR="00D326D6" w:rsidRPr="0006276E">
        <w:rPr>
          <w:rFonts w:ascii="Arial" w:hAnsi="Arial" w:cs="Arial"/>
          <w:i/>
          <w:sz w:val="24"/>
          <w:szCs w:val="24"/>
        </w:rPr>
        <w:t xml:space="preserve"> </w:t>
      </w:r>
      <w:r w:rsidR="00D326D6" w:rsidRPr="0006276E">
        <w:rPr>
          <w:rFonts w:ascii="Arial" w:hAnsi="Arial" w:cs="Arial"/>
          <w:sz w:val="24"/>
          <w:szCs w:val="24"/>
        </w:rPr>
        <w:t>where the following was stated:</w:t>
      </w:r>
    </w:p>
    <w:p w14:paraId="79B9F7FD" w14:textId="77777777" w:rsidR="00D326D6" w:rsidRPr="00001A65" w:rsidRDefault="00D326D6" w:rsidP="0006276E">
      <w:pPr>
        <w:spacing w:line="480" w:lineRule="auto"/>
        <w:jc w:val="both"/>
        <w:rPr>
          <w:rFonts w:ascii="Arial" w:hAnsi="Arial" w:cs="Arial"/>
          <w:i/>
        </w:rPr>
      </w:pPr>
      <w:r w:rsidRPr="0006276E">
        <w:rPr>
          <w:rFonts w:ascii="Arial" w:hAnsi="Arial" w:cs="Arial"/>
          <w:sz w:val="24"/>
          <w:szCs w:val="24"/>
        </w:rPr>
        <w:tab/>
      </w:r>
      <w:r w:rsidRPr="00402EEC">
        <w:rPr>
          <w:rFonts w:ascii="Arial" w:hAnsi="Arial" w:cs="Arial"/>
          <w:i/>
        </w:rPr>
        <w:t xml:space="preserve">“…First, the world, for obvious reasons, is becoming increasingly ecologically </w:t>
      </w:r>
      <w:r w:rsidR="0006276E" w:rsidRPr="00402EEC">
        <w:rPr>
          <w:rFonts w:ascii="Arial" w:hAnsi="Arial" w:cs="Arial"/>
          <w:i/>
        </w:rPr>
        <w:tab/>
      </w:r>
      <w:r w:rsidRPr="00402EEC">
        <w:rPr>
          <w:rFonts w:ascii="Arial" w:hAnsi="Arial" w:cs="Arial"/>
          <w:i/>
        </w:rPr>
        <w:t xml:space="preserve">sensitive. Second, citizens in democracies around the world are growing alert </w:t>
      </w:r>
      <w:r w:rsidR="00AE289B">
        <w:rPr>
          <w:rFonts w:ascii="Arial" w:hAnsi="Arial" w:cs="Arial"/>
          <w:i/>
        </w:rPr>
        <w:t xml:space="preserve">to </w:t>
      </w:r>
      <w:r w:rsidRPr="00402EEC">
        <w:rPr>
          <w:rFonts w:ascii="Arial" w:hAnsi="Arial" w:cs="Arial"/>
          <w:i/>
        </w:rPr>
        <w:t xml:space="preserve">the </w:t>
      </w:r>
      <w:r w:rsidR="00AE289B">
        <w:rPr>
          <w:rFonts w:ascii="Arial" w:hAnsi="Arial" w:cs="Arial"/>
          <w:i/>
        </w:rPr>
        <w:tab/>
      </w:r>
      <w:r w:rsidRPr="00402EEC">
        <w:rPr>
          <w:rFonts w:ascii="Arial" w:hAnsi="Arial" w:cs="Arial"/>
          <w:i/>
        </w:rPr>
        <w:t xml:space="preserve">dangers of a culture of secrecy and unresponsiveness, both in respect </w:t>
      </w:r>
      <w:r w:rsidR="0006276E" w:rsidRPr="00402EEC">
        <w:rPr>
          <w:rFonts w:ascii="Arial" w:hAnsi="Arial" w:cs="Arial"/>
          <w:i/>
        </w:rPr>
        <w:tab/>
      </w:r>
      <w:r w:rsidRPr="00402EEC">
        <w:rPr>
          <w:rFonts w:ascii="Arial" w:hAnsi="Arial" w:cs="Arial"/>
          <w:i/>
        </w:rPr>
        <w:t>governments and in relation to corporations. In South Africa,</w:t>
      </w:r>
      <w:r w:rsidR="00DC54C4" w:rsidRPr="00402EEC">
        <w:rPr>
          <w:rFonts w:ascii="Arial" w:hAnsi="Arial" w:cs="Arial"/>
          <w:i/>
        </w:rPr>
        <w:t xml:space="preserve"> </w:t>
      </w:r>
      <w:r w:rsidRPr="00402EEC">
        <w:rPr>
          <w:rFonts w:ascii="Arial" w:hAnsi="Arial" w:cs="Arial"/>
          <w:i/>
        </w:rPr>
        <w:t xml:space="preserve">because of our </w:t>
      </w:r>
      <w:r w:rsidR="0006276E" w:rsidRPr="00402EEC">
        <w:rPr>
          <w:rFonts w:ascii="Arial" w:hAnsi="Arial" w:cs="Arial"/>
          <w:i/>
        </w:rPr>
        <w:tab/>
      </w:r>
      <w:r w:rsidRPr="00402EEC">
        <w:rPr>
          <w:rFonts w:ascii="Arial" w:hAnsi="Arial" w:cs="Arial"/>
          <w:i/>
        </w:rPr>
        <w:t>past, the latter aspect has increased significance. . .</w:t>
      </w:r>
      <w:r w:rsidR="00402EEC">
        <w:rPr>
          <w:rFonts w:ascii="Arial" w:hAnsi="Arial" w:cs="Arial"/>
          <w:sz w:val="24"/>
          <w:szCs w:val="24"/>
        </w:rPr>
        <w:t>”</w:t>
      </w:r>
      <w:r w:rsidRPr="00402EEC">
        <w:rPr>
          <w:rFonts w:ascii="Arial" w:hAnsi="Arial" w:cs="Arial"/>
          <w:sz w:val="24"/>
          <w:szCs w:val="24"/>
        </w:rPr>
        <w:t xml:space="preserve"> </w:t>
      </w:r>
      <w:r w:rsidR="0066464B">
        <w:rPr>
          <w:rStyle w:val="FootnoteReference"/>
          <w:rFonts w:ascii="Arial" w:hAnsi="Arial" w:cs="Arial"/>
          <w:sz w:val="24"/>
          <w:szCs w:val="24"/>
        </w:rPr>
        <w:footnoteReference w:id="13"/>
      </w:r>
    </w:p>
    <w:p w14:paraId="6E6B98C0" w14:textId="77777777" w:rsidR="00D326D6" w:rsidRPr="0006276E" w:rsidRDefault="005847EA" w:rsidP="0006276E">
      <w:pPr>
        <w:spacing w:line="480" w:lineRule="auto"/>
        <w:jc w:val="both"/>
        <w:rPr>
          <w:rFonts w:ascii="Arial" w:hAnsi="Arial" w:cs="Arial"/>
          <w:sz w:val="24"/>
          <w:szCs w:val="24"/>
        </w:rPr>
      </w:pPr>
      <w:r>
        <w:rPr>
          <w:rFonts w:ascii="Arial" w:hAnsi="Arial" w:cs="Arial"/>
          <w:sz w:val="24"/>
          <w:szCs w:val="24"/>
        </w:rPr>
        <w:t>The SCA went on to</w:t>
      </w:r>
      <w:r w:rsidR="00D326D6" w:rsidRPr="0006276E">
        <w:rPr>
          <w:rFonts w:ascii="Arial" w:hAnsi="Arial" w:cs="Arial"/>
          <w:sz w:val="24"/>
          <w:szCs w:val="24"/>
        </w:rPr>
        <w:t xml:space="preserve"> emphasis</w:t>
      </w:r>
      <w:r>
        <w:rPr>
          <w:rFonts w:ascii="Arial" w:hAnsi="Arial" w:cs="Arial"/>
          <w:sz w:val="24"/>
          <w:szCs w:val="24"/>
        </w:rPr>
        <w:t>e</w:t>
      </w:r>
      <w:r w:rsidR="00D326D6" w:rsidRPr="0006276E">
        <w:rPr>
          <w:rFonts w:ascii="Arial" w:hAnsi="Arial" w:cs="Arial"/>
          <w:sz w:val="24"/>
          <w:szCs w:val="24"/>
        </w:rPr>
        <w:t xml:space="preserve"> the critical role played by the public in environmental debates:</w:t>
      </w:r>
    </w:p>
    <w:p w14:paraId="30CFE7A0" w14:textId="77777777" w:rsidR="00D326D6" w:rsidRDefault="00D326D6" w:rsidP="0006276E">
      <w:pPr>
        <w:spacing w:line="480" w:lineRule="auto"/>
        <w:jc w:val="both"/>
        <w:rPr>
          <w:rFonts w:ascii="Arial" w:hAnsi="Arial" w:cs="Arial"/>
          <w:i/>
        </w:rPr>
      </w:pPr>
      <w:r w:rsidRPr="0006276E">
        <w:rPr>
          <w:rFonts w:ascii="Arial" w:hAnsi="Arial" w:cs="Arial"/>
          <w:sz w:val="24"/>
          <w:szCs w:val="24"/>
        </w:rPr>
        <w:tab/>
      </w:r>
      <w:r w:rsidRPr="0006276E">
        <w:rPr>
          <w:rFonts w:ascii="Arial" w:hAnsi="Arial" w:cs="Arial"/>
          <w:i/>
        </w:rPr>
        <w:t xml:space="preserve">“It is clear, therefore, in accordance with international trends, and constitutional </w:t>
      </w:r>
      <w:r w:rsidR="0006276E" w:rsidRPr="0006276E">
        <w:rPr>
          <w:rFonts w:ascii="Arial" w:hAnsi="Arial" w:cs="Arial"/>
          <w:i/>
        </w:rPr>
        <w:tab/>
      </w:r>
      <w:r w:rsidRPr="0006276E">
        <w:rPr>
          <w:rFonts w:ascii="Arial" w:hAnsi="Arial" w:cs="Arial"/>
          <w:i/>
        </w:rPr>
        <w:t xml:space="preserve">values and norms, that our legislature has recognised, in the field of </w:t>
      </w:r>
      <w:r w:rsidR="0006276E" w:rsidRPr="0006276E">
        <w:rPr>
          <w:rFonts w:ascii="Arial" w:hAnsi="Arial" w:cs="Arial"/>
          <w:i/>
        </w:rPr>
        <w:tab/>
      </w:r>
      <w:r w:rsidRPr="0006276E">
        <w:rPr>
          <w:rFonts w:ascii="Arial" w:hAnsi="Arial" w:cs="Arial"/>
          <w:i/>
        </w:rPr>
        <w:t xml:space="preserve">environmental protection, inter alia the importance of consultations and </w:t>
      </w:r>
      <w:r w:rsidR="0006276E" w:rsidRPr="0006276E">
        <w:rPr>
          <w:rFonts w:ascii="Arial" w:hAnsi="Arial" w:cs="Arial"/>
          <w:i/>
        </w:rPr>
        <w:tab/>
      </w:r>
      <w:r w:rsidRPr="0006276E">
        <w:rPr>
          <w:rFonts w:ascii="Arial" w:hAnsi="Arial" w:cs="Arial"/>
          <w:i/>
        </w:rPr>
        <w:t xml:space="preserve">interaction </w:t>
      </w:r>
      <w:r w:rsidR="0006276E">
        <w:rPr>
          <w:rFonts w:ascii="Arial" w:hAnsi="Arial" w:cs="Arial"/>
          <w:i/>
        </w:rPr>
        <w:tab/>
      </w:r>
      <w:r w:rsidRPr="0006276E">
        <w:rPr>
          <w:rFonts w:ascii="Arial" w:hAnsi="Arial" w:cs="Arial"/>
          <w:i/>
        </w:rPr>
        <w:t xml:space="preserve">with the public. After all, environmental degradation affects us all. </w:t>
      </w:r>
      <w:r w:rsidR="0006276E" w:rsidRPr="0006276E">
        <w:rPr>
          <w:rFonts w:ascii="Arial" w:hAnsi="Arial" w:cs="Arial"/>
          <w:i/>
        </w:rPr>
        <w:tab/>
      </w:r>
      <w:r w:rsidRPr="0006276E">
        <w:rPr>
          <w:rFonts w:ascii="Arial" w:hAnsi="Arial" w:cs="Arial"/>
          <w:i/>
        </w:rPr>
        <w:t xml:space="preserve">One might rightly </w:t>
      </w:r>
      <w:r w:rsidR="0006276E">
        <w:rPr>
          <w:rFonts w:ascii="Arial" w:hAnsi="Arial" w:cs="Arial"/>
          <w:i/>
        </w:rPr>
        <w:tab/>
      </w:r>
      <w:r w:rsidRPr="0006276E">
        <w:rPr>
          <w:rFonts w:ascii="Arial" w:hAnsi="Arial" w:cs="Arial"/>
          <w:i/>
        </w:rPr>
        <w:t>speak of collaborative corporate governance in relation to the environment . . .”</w:t>
      </w:r>
      <w:r w:rsidR="0066464B">
        <w:rPr>
          <w:rStyle w:val="FootnoteReference"/>
          <w:rFonts w:ascii="Arial" w:hAnsi="Arial" w:cs="Arial"/>
          <w:i/>
        </w:rPr>
        <w:footnoteReference w:id="14"/>
      </w:r>
    </w:p>
    <w:p w14:paraId="32F5B1ED" w14:textId="77777777" w:rsidR="00001A65" w:rsidRPr="00402EEC" w:rsidRDefault="00001A65" w:rsidP="00001A65">
      <w:pPr>
        <w:spacing w:after="0" w:line="240" w:lineRule="auto"/>
        <w:jc w:val="both"/>
        <w:rPr>
          <w:rFonts w:ascii="Arial" w:hAnsi="Arial" w:cs="Arial"/>
          <w:i/>
        </w:rPr>
      </w:pPr>
    </w:p>
    <w:p w14:paraId="16B7B1E8" w14:textId="77777777" w:rsidR="00D326D6" w:rsidRDefault="00D326D6" w:rsidP="0006276E">
      <w:pPr>
        <w:spacing w:line="480" w:lineRule="auto"/>
        <w:jc w:val="both"/>
        <w:rPr>
          <w:rFonts w:ascii="Arial" w:hAnsi="Arial" w:cs="Arial"/>
          <w:sz w:val="24"/>
          <w:szCs w:val="24"/>
        </w:rPr>
      </w:pPr>
      <w:r w:rsidRPr="0006276E">
        <w:rPr>
          <w:rFonts w:ascii="Arial" w:hAnsi="Arial" w:cs="Arial"/>
          <w:sz w:val="24"/>
          <w:szCs w:val="24"/>
        </w:rPr>
        <w:t>It concluded that;</w:t>
      </w:r>
    </w:p>
    <w:p w14:paraId="2030DED6" w14:textId="77777777" w:rsidR="00001A65" w:rsidRPr="0006276E" w:rsidRDefault="00001A65" w:rsidP="00001A65">
      <w:pPr>
        <w:spacing w:after="0" w:line="240" w:lineRule="auto"/>
        <w:jc w:val="both"/>
        <w:rPr>
          <w:rFonts w:ascii="Arial" w:hAnsi="Arial" w:cs="Arial"/>
          <w:sz w:val="24"/>
          <w:szCs w:val="24"/>
        </w:rPr>
      </w:pPr>
    </w:p>
    <w:p w14:paraId="0DE16B25" w14:textId="77777777" w:rsidR="00D326D6" w:rsidRPr="0006276E" w:rsidRDefault="00D326D6" w:rsidP="0013641B">
      <w:pPr>
        <w:spacing w:line="480" w:lineRule="auto"/>
        <w:ind w:left="720"/>
        <w:jc w:val="both"/>
        <w:rPr>
          <w:rFonts w:ascii="Arial" w:hAnsi="Arial" w:cs="Arial"/>
          <w:i/>
        </w:rPr>
      </w:pPr>
      <w:r w:rsidRPr="0006276E">
        <w:rPr>
          <w:rFonts w:ascii="Arial" w:hAnsi="Arial" w:cs="Arial"/>
          <w:i/>
        </w:rPr>
        <w:lastRenderedPageBreak/>
        <w:t>“Corporations operating within our borders, whether local or international, must be left in no doubt that in relation to the environment in circumstances such as those under discussion, there is no room for secrecy and that constitutional values will be enforced.”</w:t>
      </w:r>
      <w:r w:rsidR="0066464B">
        <w:rPr>
          <w:rStyle w:val="FootnoteReference"/>
          <w:rFonts w:ascii="Arial" w:hAnsi="Arial" w:cs="Arial"/>
          <w:i/>
        </w:rPr>
        <w:footnoteReference w:id="15"/>
      </w:r>
    </w:p>
    <w:p w14:paraId="1BD83526" w14:textId="77777777" w:rsidR="00A53ACC" w:rsidRPr="0006276E" w:rsidRDefault="00A53ACC" w:rsidP="00A31D83">
      <w:pPr>
        <w:spacing w:after="0" w:line="240" w:lineRule="auto"/>
        <w:jc w:val="both"/>
        <w:rPr>
          <w:rFonts w:ascii="Arial" w:hAnsi="Arial" w:cs="Arial"/>
          <w:sz w:val="24"/>
          <w:szCs w:val="24"/>
        </w:rPr>
      </w:pPr>
    </w:p>
    <w:p w14:paraId="507BA9F4" w14:textId="77777777" w:rsidR="00C7777F" w:rsidRDefault="00D326D6" w:rsidP="00C7777F">
      <w:pPr>
        <w:spacing w:line="480" w:lineRule="auto"/>
        <w:jc w:val="both"/>
        <w:rPr>
          <w:rFonts w:ascii="Arial" w:hAnsi="Arial" w:cs="Arial"/>
          <w:sz w:val="24"/>
          <w:szCs w:val="24"/>
        </w:rPr>
      </w:pPr>
      <w:r w:rsidRPr="0006276E">
        <w:rPr>
          <w:rFonts w:ascii="Arial" w:hAnsi="Arial" w:cs="Arial"/>
          <w:sz w:val="24"/>
          <w:szCs w:val="24"/>
        </w:rPr>
        <w:t>[2</w:t>
      </w:r>
      <w:r w:rsidR="007B2594">
        <w:rPr>
          <w:rFonts w:ascii="Arial" w:hAnsi="Arial" w:cs="Arial"/>
          <w:sz w:val="24"/>
          <w:szCs w:val="24"/>
        </w:rPr>
        <w:t>0</w:t>
      </w:r>
      <w:r w:rsidRPr="0006276E">
        <w:rPr>
          <w:rFonts w:ascii="Arial" w:hAnsi="Arial" w:cs="Arial"/>
          <w:sz w:val="24"/>
          <w:szCs w:val="24"/>
        </w:rPr>
        <w:t>]</w:t>
      </w:r>
      <w:r w:rsidRPr="0006276E">
        <w:rPr>
          <w:rFonts w:ascii="Arial" w:hAnsi="Arial" w:cs="Arial"/>
          <w:sz w:val="24"/>
          <w:szCs w:val="24"/>
        </w:rPr>
        <w:tab/>
      </w:r>
      <w:r w:rsidR="006359C0">
        <w:rPr>
          <w:rFonts w:ascii="Arial" w:hAnsi="Arial" w:cs="Arial"/>
          <w:sz w:val="24"/>
          <w:szCs w:val="24"/>
        </w:rPr>
        <w:t xml:space="preserve">The </w:t>
      </w:r>
      <w:r w:rsidR="00BD4731">
        <w:rPr>
          <w:rFonts w:ascii="Arial" w:hAnsi="Arial" w:cs="Arial"/>
          <w:sz w:val="24"/>
          <w:szCs w:val="24"/>
        </w:rPr>
        <w:t>defendant</w:t>
      </w:r>
      <w:r w:rsidR="002738EE">
        <w:rPr>
          <w:rFonts w:ascii="Arial" w:hAnsi="Arial" w:cs="Arial"/>
          <w:sz w:val="24"/>
          <w:szCs w:val="24"/>
        </w:rPr>
        <w:t>s</w:t>
      </w:r>
      <w:r w:rsidR="006359C0">
        <w:rPr>
          <w:rFonts w:ascii="Arial" w:hAnsi="Arial" w:cs="Arial"/>
          <w:sz w:val="24"/>
          <w:szCs w:val="24"/>
        </w:rPr>
        <w:t xml:space="preserve"> emphasised that d</w:t>
      </w:r>
      <w:r w:rsidRPr="0006276E">
        <w:rPr>
          <w:rFonts w:ascii="Arial" w:hAnsi="Arial" w:cs="Arial"/>
          <w:sz w:val="24"/>
          <w:szCs w:val="24"/>
        </w:rPr>
        <w:t>ebates arising within the context of mining rights, environmental damage, and economic power of large</w:t>
      </w:r>
      <w:r w:rsidR="00C41022" w:rsidRPr="0006276E">
        <w:rPr>
          <w:rFonts w:ascii="Arial" w:hAnsi="Arial" w:cs="Arial"/>
          <w:sz w:val="24"/>
          <w:szCs w:val="24"/>
        </w:rPr>
        <w:t xml:space="preserve"> trading corporations require intense public scrutiny and public engagement.</w:t>
      </w:r>
      <w:r w:rsidR="00A34502">
        <w:rPr>
          <w:rFonts w:ascii="Arial" w:hAnsi="Arial" w:cs="Arial"/>
          <w:sz w:val="24"/>
          <w:szCs w:val="24"/>
        </w:rPr>
        <w:t xml:space="preserve">  </w:t>
      </w:r>
      <w:r w:rsidR="00A34502" w:rsidRPr="0006276E">
        <w:rPr>
          <w:rFonts w:ascii="Arial" w:hAnsi="Arial" w:cs="Arial"/>
          <w:sz w:val="24"/>
          <w:szCs w:val="24"/>
        </w:rPr>
        <w:t xml:space="preserve">The mining companies’ contention that it would be permissible to sue activists for defamation even if </w:t>
      </w:r>
      <w:r w:rsidR="00A34502" w:rsidRPr="00F67B85">
        <w:rPr>
          <w:rFonts w:ascii="Arial" w:hAnsi="Arial" w:cs="Arial"/>
          <w:i/>
          <w:sz w:val="24"/>
          <w:szCs w:val="24"/>
        </w:rPr>
        <w:t xml:space="preserve">“the only purpose is to silence the activists” </w:t>
      </w:r>
      <w:r w:rsidR="00A34502" w:rsidRPr="0006276E">
        <w:rPr>
          <w:rFonts w:ascii="Arial" w:hAnsi="Arial" w:cs="Arial"/>
          <w:sz w:val="24"/>
          <w:szCs w:val="24"/>
        </w:rPr>
        <w:t>is unsustainable under our constitutional scheme</w:t>
      </w:r>
      <w:r w:rsidR="00F11918">
        <w:rPr>
          <w:rFonts w:ascii="Arial" w:hAnsi="Arial" w:cs="Arial"/>
          <w:sz w:val="24"/>
          <w:szCs w:val="24"/>
        </w:rPr>
        <w:t>, and which regime</w:t>
      </w:r>
      <w:r w:rsidR="00A34502" w:rsidRPr="0006276E">
        <w:rPr>
          <w:rFonts w:ascii="Arial" w:hAnsi="Arial" w:cs="Arial"/>
          <w:sz w:val="24"/>
          <w:szCs w:val="24"/>
        </w:rPr>
        <w:t xml:space="preserve"> advocates for freedom of expression, active public engagement in environmental</w:t>
      </w:r>
      <w:r w:rsidR="00F11918">
        <w:rPr>
          <w:rFonts w:ascii="Arial" w:hAnsi="Arial" w:cs="Arial"/>
          <w:sz w:val="24"/>
          <w:szCs w:val="24"/>
        </w:rPr>
        <w:t xml:space="preserve"> assessment</w:t>
      </w:r>
      <w:r w:rsidR="00A34502" w:rsidRPr="0006276E">
        <w:rPr>
          <w:rFonts w:ascii="Arial" w:hAnsi="Arial" w:cs="Arial"/>
          <w:sz w:val="24"/>
          <w:szCs w:val="24"/>
        </w:rPr>
        <w:t xml:space="preserve"> issues and active public scrutiny of large multinational companies.</w:t>
      </w:r>
    </w:p>
    <w:p w14:paraId="3333C37E" w14:textId="77777777" w:rsidR="000F4E31" w:rsidRDefault="000F4E31" w:rsidP="000F4E31">
      <w:pPr>
        <w:spacing w:after="0" w:line="240" w:lineRule="auto"/>
        <w:jc w:val="both"/>
        <w:rPr>
          <w:rFonts w:ascii="Arial" w:hAnsi="Arial" w:cs="Arial"/>
          <w:b/>
          <w:sz w:val="24"/>
          <w:szCs w:val="24"/>
          <w:u w:val="single"/>
        </w:rPr>
      </w:pPr>
    </w:p>
    <w:p w14:paraId="63DF880C" w14:textId="77777777" w:rsidR="003300EA" w:rsidRDefault="00440844" w:rsidP="00510D91">
      <w:pPr>
        <w:spacing w:line="480" w:lineRule="auto"/>
        <w:jc w:val="both"/>
        <w:rPr>
          <w:rFonts w:ascii="Arial" w:hAnsi="Arial" w:cs="Arial"/>
          <w:sz w:val="24"/>
          <w:szCs w:val="24"/>
        </w:rPr>
      </w:pPr>
      <w:r>
        <w:rPr>
          <w:rFonts w:ascii="Arial" w:hAnsi="Arial" w:cs="Arial"/>
          <w:sz w:val="24"/>
          <w:szCs w:val="24"/>
        </w:rPr>
        <w:t>[</w:t>
      </w:r>
      <w:r w:rsidR="007B2594">
        <w:rPr>
          <w:rFonts w:ascii="Arial" w:hAnsi="Arial" w:cs="Arial"/>
          <w:sz w:val="24"/>
          <w:szCs w:val="24"/>
        </w:rPr>
        <w:t>21</w:t>
      </w:r>
      <w:r>
        <w:rPr>
          <w:rFonts w:ascii="Arial" w:hAnsi="Arial" w:cs="Arial"/>
          <w:sz w:val="24"/>
          <w:szCs w:val="24"/>
        </w:rPr>
        <w:t>]</w:t>
      </w:r>
      <w:r>
        <w:rPr>
          <w:rFonts w:ascii="Arial" w:hAnsi="Arial" w:cs="Arial"/>
          <w:sz w:val="24"/>
          <w:szCs w:val="24"/>
        </w:rPr>
        <w:tab/>
        <w:t xml:space="preserve">Both parties made submissions regarding the origins and development of </w:t>
      </w:r>
      <w:r w:rsidR="00FF5CFD">
        <w:rPr>
          <w:rFonts w:ascii="Arial" w:hAnsi="Arial" w:cs="Arial"/>
          <w:sz w:val="24"/>
          <w:szCs w:val="24"/>
        </w:rPr>
        <w:t>SLAPP</w:t>
      </w:r>
      <w:r>
        <w:rPr>
          <w:rFonts w:ascii="Arial" w:hAnsi="Arial" w:cs="Arial"/>
          <w:sz w:val="24"/>
          <w:szCs w:val="24"/>
        </w:rPr>
        <w:t xml:space="preserve"> suits in different jurisdictions. </w:t>
      </w:r>
      <w:r w:rsidR="00510D91">
        <w:rPr>
          <w:rFonts w:ascii="Arial" w:hAnsi="Arial" w:cs="Arial"/>
          <w:sz w:val="24"/>
          <w:szCs w:val="24"/>
        </w:rPr>
        <w:t xml:space="preserve">The </w:t>
      </w:r>
      <w:r w:rsidR="00974F43">
        <w:rPr>
          <w:rFonts w:ascii="Arial" w:hAnsi="Arial" w:cs="Arial"/>
          <w:sz w:val="24"/>
          <w:szCs w:val="24"/>
        </w:rPr>
        <w:t>p</w:t>
      </w:r>
      <w:r w:rsidR="002738EE">
        <w:rPr>
          <w:rFonts w:ascii="Arial" w:hAnsi="Arial" w:cs="Arial"/>
          <w:sz w:val="24"/>
          <w:szCs w:val="24"/>
        </w:rPr>
        <w:t>laintiff</w:t>
      </w:r>
      <w:r w:rsidR="00510D91">
        <w:rPr>
          <w:rFonts w:ascii="Arial" w:hAnsi="Arial" w:cs="Arial"/>
          <w:sz w:val="24"/>
          <w:szCs w:val="24"/>
        </w:rPr>
        <w:t xml:space="preserve"> submitted that the manner in which </w:t>
      </w:r>
      <w:r w:rsidR="00FF5CFD">
        <w:rPr>
          <w:rFonts w:ascii="Arial" w:hAnsi="Arial" w:cs="Arial"/>
          <w:sz w:val="24"/>
          <w:szCs w:val="24"/>
        </w:rPr>
        <w:t>SLAPP</w:t>
      </w:r>
      <w:r w:rsidR="00510D91">
        <w:rPr>
          <w:rFonts w:ascii="Arial" w:hAnsi="Arial" w:cs="Arial"/>
          <w:sz w:val="24"/>
          <w:szCs w:val="24"/>
        </w:rPr>
        <w:t xml:space="preserve"> suits are regulated in the United States</w:t>
      </w:r>
      <w:r w:rsidR="00340231">
        <w:rPr>
          <w:rFonts w:ascii="Arial" w:hAnsi="Arial" w:cs="Arial"/>
          <w:sz w:val="24"/>
          <w:szCs w:val="24"/>
        </w:rPr>
        <w:t xml:space="preserve"> is </w:t>
      </w:r>
      <w:r w:rsidR="00510D91">
        <w:rPr>
          <w:rFonts w:ascii="Arial" w:hAnsi="Arial" w:cs="Arial"/>
          <w:sz w:val="24"/>
          <w:szCs w:val="24"/>
        </w:rPr>
        <w:t>indicative of the complexity involved in drafting legislation and the policy-laden nature of its underpinnings. The Legislature s</w:t>
      </w:r>
      <w:r w:rsidR="00F11918">
        <w:rPr>
          <w:rFonts w:ascii="Arial" w:hAnsi="Arial" w:cs="Arial"/>
          <w:sz w:val="24"/>
          <w:szCs w:val="24"/>
        </w:rPr>
        <w:t>hould be left with the choice as to</w:t>
      </w:r>
      <w:r w:rsidR="00510D91">
        <w:rPr>
          <w:rFonts w:ascii="Arial" w:hAnsi="Arial" w:cs="Arial"/>
          <w:sz w:val="24"/>
          <w:szCs w:val="24"/>
        </w:rPr>
        <w:t xml:space="preserve"> whether this defence should be introduced into South African law.</w:t>
      </w:r>
    </w:p>
    <w:p w14:paraId="117314F2" w14:textId="77777777" w:rsidR="000F4E31" w:rsidRDefault="000F4E31" w:rsidP="000F4E31">
      <w:pPr>
        <w:spacing w:after="0" w:line="240" w:lineRule="auto"/>
        <w:jc w:val="both"/>
        <w:rPr>
          <w:rFonts w:ascii="Arial" w:hAnsi="Arial" w:cs="Arial"/>
          <w:sz w:val="24"/>
          <w:szCs w:val="24"/>
        </w:rPr>
      </w:pPr>
    </w:p>
    <w:p w14:paraId="06F74090" w14:textId="77777777" w:rsidR="003300EA" w:rsidRDefault="00510D91" w:rsidP="00510D91">
      <w:pPr>
        <w:spacing w:line="480" w:lineRule="auto"/>
        <w:jc w:val="both"/>
        <w:rPr>
          <w:rFonts w:ascii="Arial" w:hAnsi="Arial" w:cs="Arial"/>
          <w:sz w:val="24"/>
          <w:szCs w:val="24"/>
        </w:rPr>
      </w:pPr>
      <w:r>
        <w:rPr>
          <w:rFonts w:ascii="Arial" w:hAnsi="Arial" w:cs="Arial"/>
          <w:sz w:val="24"/>
          <w:szCs w:val="24"/>
        </w:rPr>
        <w:t>[2</w:t>
      </w:r>
      <w:r w:rsidR="007B2594">
        <w:rPr>
          <w:rFonts w:ascii="Arial" w:hAnsi="Arial" w:cs="Arial"/>
          <w:sz w:val="24"/>
          <w:szCs w:val="24"/>
        </w:rPr>
        <w:t>2</w:t>
      </w:r>
      <w:r>
        <w:rPr>
          <w:rFonts w:ascii="Arial" w:hAnsi="Arial" w:cs="Arial"/>
          <w:sz w:val="24"/>
          <w:szCs w:val="24"/>
        </w:rPr>
        <w:t>]</w:t>
      </w:r>
      <w:r>
        <w:rPr>
          <w:rFonts w:ascii="Arial" w:hAnsi="Arial" w:cs="Arial"/>
          <w:sz w:val="24"/>
          <w:szCs w:val="24"/>
        </w:rPr>
        <w:tab/>
      </w:r>
      <w:r w:rsidR="00BD4731">
        <w:rPr>
          <w:rFonts w:ascii="Arial" w:hAnsi="Arial" w:cs="Arial"/>
          <w:sz w:val="24"/>
          <w:szCs w:val="24"/>
        </w:rPr>
        <w:t>Defendant</w:t>
      </w:r>
      <w:r w:rsidR="002738EE">
        <w:rPr>
          <w:rFonts w:ascii="Arial" w:hAnsi="Arial" w:cs="Arial"/>
          <w:sz w:val="24"/>
          <w:szCs w:val="24"/>
        </w:rPr>
        <w:t>s</w:t>
      </w:r>
      <w:r>
        <w:rPr>
          <w:rFonts w:ascii="Arial" w:hAnsi="Arial" w:cs="Arial"/>
          <w:sz w:val="24"/>
          <w:szCs w:val="24"/>
        </w:rPr>
        <w:t xml:space="preserve"> submitted that mining companies should not be allowed to bring these proceedings in circumstances where they know they will never have any realistic prospect of recovering the damages th</w:t>
      </w:r>
      <w:r w:rsidR="00753AC0">
        <w:rPr>
          <w:rFonts w:ascii="Arial" w:hAnsi="Arial" w:cs="Arial"/>
          <w:sz w:val="24"/>
          <w:szCs w:val="24"/>
        </w:rPr>
        <w:t>ey seek and where their purpose</w:t>
      </w:r>
      <w:r>
        <w:rPr>
          <w:rFonts w:ascii="Arial" w:hAnsi="Arial" w:cs="Arial"/>
          <w:sz w:val="24"/>
          <w:szCs w:val="24"/>
        </w:rPr>
        <w:t xml:space="preserve"> is to intimidate and silence civil society, the public and the media. The</w:t>
      </w:r>
      <w:r w:rsidR="00F11918">
        <w:rPr>
          <w:rFonts w:ascii="Arial" w:hAnsi="Arial" w:cs="Arial"/>
          <w:sz w:val="24"/>
          <w:szCs w:val="24"/>
        </w:rPr>
        <w:t>y further assert that</w:t>
      </w:r>
      <w:r>
        <w:rPr>
          <w:rFonts w:ascii="Arial" w:hAnsi="Arial" w:cs="Arial"/>
          <w:sz w:val="24"/>
          <w:szCs w:val="24"/>
        </w:rPr>
        <w:t xml:space="preserve"> court</w:t>
      </w:r>
      <w:r w:rsidR="00F11918">
        <w:rPr>
          <w:rFonts w:ascii="Arial" w:hAnsi="Arial" w:cs="Arial"/>
          <w:sz w:val="24"/>
          <w:szCs w:val="24"/>
        </w:rPr>
        <w:t>s</w:t>
      </w:r>
      <w:r>
        <w:rPr>
          <w:rFonts w:ascii="Arial" w:hAnsi="Arial" w:cs="Arial"/>
          <w:sz w:val="24"/>
          <w:szCs w:val="24"/>
        </w:rPr>
        <w:t xml:space="preserve"> </w:t>
      </w:r>
      <w:r>
        <w:rPr>
          <w:rFonts w:ascii="Arial" w:hAnsi="Arial" w:cs="Arial"/>
          <w:sz w:val="24"/>
          <w:szCs w:val="24"/>
        </w:rPr>
        <w:lastRenderedPageBreak/>
        <w:t>should not allow the mining companies to use its processes for such ulterior purpose</w:t>
      </w:r>
      <w:r w:rsidR="00F11918">
        <w:rPr>
          <w:rFonts w:ascii="Arial" w:hAnsi="Arial" w:cs="Arial"/>
          <w:sz w:val="24"/>
          <w:szCs w:val="24"/>
        </w:rPr>
        <w:t>s</w:t>
      </w:r>
      <w:r>
        <w:rPr>
          <w:rFonts w:ascii="Arial" w:hAnsi="Arial" w:cs="Arial"/>
          <w:sz w:val="24"/>
          <w:szCs w:val="24"/>
        </w:rPr>
        <w:t>.</w:t>
      </w:r>
      <w:r w:rsidR="00BB3010">
        <w:rPr>
          <w:rFonts w:ascii="Arial" w:hAnsi="Arial" w:cs="Arial"/>
          <w:sz w:val="24"/>
          <w:szCs w:val="24"/>
        </w:rPr>
        <w:t xml:space="preserve">  </w:t>
      </w:r>
      <w:r w:rsidR="00F11918">
        <w:rPr>
          <w:rFonts w:ascii="Arial" w:hAnsi="Arial" w:cs="Arial"/>
          <w:sz w:val="24"/>
          <w:szCs w:val="24"/>
        </w:rPr>
        <w:t>They aver</w:t>
      </w:r>
      <w:r w:rsidR="00915414">
        <w:rPr>
          <w:rFonts w:ascii="Arial" w:hAnsi="Arial" w:cs="Arial"/>
          <w:sz w:val="24"/>
          <w:szCs w:val="24"/>
        </w:rPr>
        <w:t xml:space="preserve"> that u</w:t>
      </w:r>
      <w:r w:rsidR="00BB3010">
        <w:rPr>
          <w:rFonts w:ascii="Arial" w:hAnsi="Arial" w:cs="Arial"/>
          <w:sz w:val="24"/>
          <w:szCs w:val="24"/>
        </w:rPr>
        <w:t xml:space="preserve">nder the existing common law doctrine of abuse of process, the first set of pleas are sustainable in law.  </w:t>
      </w:r>
    </w:p>
    <w:p w14:paraId="56749413" w14:textId="77777777" w:rsidR="000F4E31" w:rsidRDefault="000F4E31" w:rsidP="000F4E31">
      <w:pPr>
        <w:spacing w:after="0" w:line="240" w:lineRule="auto"/>
        <w:jc w:val="both"/>
        <w:rPr>
          <w:rFonts w:ascii="Arial" w:hAnsi="Arial" w:cs="Arial"/>
          <w:sz w:val="24"/>
          <w:szCs w:val="24"/>
        </w:rPr>
      </w:pPr>
    </w:p>
    <w:p w14:paraId="51618CD8" w14:textId="77777777" w:rsidR="000A64C5" w:rsidRDefault="007B2594" w:rsidP="0006276E">
      <w:pPr>
        <w:spacing w:line="480" w:lineRule="auto"/>
        <w:jc w:val="both"/>
        <w:rPr>
          <w:rFonts w:ascii="Arial" w:hAnsi="Arial" w:cs="Arial"/>
          <w:sz w:val="24"/>
          <w:szCs w:val="24"/>
        </w:rPr>
      </w:pPr>
      <w:r>
        <w:rPr>
          <w:rFonts w:ascii="Arial" w:hAnsi="Arial" w:cs="Arial"/>
          <w:sz w:val="24"/>
          <w:szCs w:val="24"/>
        </w:rPr>
        <w:t>[23</w:t>
      </w:r>
      <w:r w:rsidR="00510D91">
        <w:rPr>
          <w:rFonts w:ascii="Arial" w:hAnsi="Arial" w:cs="Arial"/>
          <w:sz w:val="24"/>
          <w:szCs w:val="24"/>
        </w:rPr>
        <w:t>]</w:t>
      </w:r>
      <w:r w:rsidR="00510D91">
        <w:rPr>
          <w:rFonts w:ascii="Arial" w:hAnsi="Arial" w:cs="Arial"/>
          <w:sz w:val="24"/>
          <w:szCs w:val="24"/>
        </w:rPr>
        <w:tab/>
      </w:r>
      <w:r w:rsidR="00DB4D8E">
        <w:rPr>
          <w:rFonts w:ascii="Arial" w:hAnsi="Arial" w:cs="Arial"/>
          <w:sz w:val="24"/>
          <w:szCs w:val="24"/>
        </w:rPr>
        <w:t>In the alternative t</w:t>
      </w:r>
      <w:r w:rsidR="00510D91">
        <w:rPr>
          <w:rFonts w:ascii="Arial" w:hAnsi="Arial" w:cs="Arial"/>
          <w:sz w:val="24"/>
          <w:szCs w:val="24"/>
        </w:rPr>
        <w:t xml:space="preserve">he </w:t>
      </w:r>
      <w:r w:rsidR="00BD4731">
        <w:rPr>
          <w:rFonts w:ascii="Arial" w:hAnsi="Arial" w:cs="Arial"/>
          <w:sz w:val="24"/>
          <w:szCs w:val="24"/>
        </w:rPr>
        <w:t>defendant</w:t>
      </w:r>
      <w:r w:rsidR="002738EE">
        <w:rPr>
          <w:rFonts w:ascii="Arial" w:hAnsi="Arial" w:cs="Arial"/>
          <w:sz w:val="24"/>
          <w:szCs w:val="24"/>
        </w:rPr>
        <w:t>s</w:t>
      </w:r>
      <w:r w:rsidR="00510D91">
        <w:rPr>
          <w:rFonts w:ascii="Arial" w:hAnsi="Arial" w:cs="Arial"/>
          <w:sz w:val="24"/>
          <w:szCs w:val="24"/>
        </w:rPr>
        <w:t xml:space="preserve"> </w:t>
      </w:r>
      <w:r w:rsidR="00F40964">
        <w:rPr>
          <w:rFonts w:ascii="Arial" w:hAnsi="Arial" w:cs="Arial"/>
          <w:sz w:val="24"/>
          <w:szCs w:val="24"/>
        </w:rPr>
        <w:t xml:space="preserve">argue </w:t>
      </w:r>
      <w:r w:rsidR="00C91189">
        <w:rPr>
          <w:rFonts w:ascii="Arial" w:hAnsi="Arial" w:cs="Arial"/>
          <w:sz w:val="24"/>
          <w:szCs w:val="24"/>
        </w:rPr>
        <w:t>that the fact that many</w:t>
      </w:r>
      <w:r w:rsidR="00510D91">
        <w:rPr>
          <w:rFonts w:ascii="Arial" w:hAnsi="Arial" w:cs="Arial"/>
          <w:sz w:val="24"/>
          <w:szCs w:val="24"/>
        </w:rPr>
        <w:t xml:space="preserve"> other jurisdictions have dealt with this comprehensively </w:t>
      </w:r>
      <w:r w:rsidR="00E42875">
        <w:rPr>
          <w:rFonts w:ascii="Arial" w:hAnsi="Arial" w:cs="Arial"/>
          <w:sz w:val="24"/>
          <w:szCs w:val="24"/>
        </w:rPr>
        <w:t>by passing legislation</w:t>
      </w:r>
      <w:r w:rsidR="00DC3D9A">
        <w:rPr>
          <w:rFonts w:ascii="Arial" w:hAnsi="Arial" w:cs="Arial"/>
          <w:sz w:val="24"/>
          <w:szCs w:val="24"/>
        </w:rPr>
        <w:t>,</w:t>
      </w:r>
      <w:r w:rsidR="00E42875">
        <w:rPr>
          <w:rFonts w:ascii="Arial" w:hAnsi="Arial" w:cs="Arial"/>
          <w:sz w:val="24"/>
          <w:szCs w:val="24"/>
        </w:rPr>
        <w:t xml:space="preserve"> </w:t>
      </w:r>
      <w:r w:rsidR="00510D91">
        <w:rPr>
          <w:rFonts w:ascii="Arial" w:hAnsi="Arial" w:cs="Arial"/>
          <w:sz w:val="24"/>
          <w:szCs w:val="24"/>
        </w:rPr>
        <w:t xml:space="preserve">this court </w:t>
      </w:r>
      <w:r w:rsidR="00E42875">
        <w:rPr>
          <w:rFonts w:ascii="Arial" w:hAnsi="Arial" w:cs="Arial"/>
          <w:sz w:val="24"/>
          <w:szCs w:val="24"/>
        </w:rPr>
        <w:t xml:space="preserve">is not barred from </w:t>
      </w:r>
      <w:r w:rsidR="00510D91">
        <w:rPr>
          <w:rFonts w:ascii="Arial" w:hAnsi="Arial" w:cs="Arial"/>
          <w:sz w:val="24"/>
          <w:szCs w:val="24"/>
        </w:rPr>
        <w:t>doing so incrementally via th</w:t>
      </w:r>
      <w:r w:rsidR="00DC3D9A">
        <w:rPr>
          <w:rFonts w:ascii="Arial" w:hAnsi="Arial" w:cs="Arial"/>
          <w:sz w:val="24"/>
          <w:szCs w:val="24"/>
        </w:rPr>
        <w:t>e development of the common law</w:t>
      </w:r>
      <w:r w:rsidR="00510D91">
        <w:rPr>
          <w:rFonts w:ascii="Arial" w:hAnsi="Arial" w:cs="Arial"/>
          <w:sz w:val="24"/>
          <w:szCs w:val="24"/>
        </w:rPr>
        <w:t xml:space="preserve">. The </w:t>
      </w:r>
      <w:r w:rsidR="002F4EC4">
        <w:rPr>
          <w:rFonts w:ascii="Arial" w:hAnsi="Arial" w:cs="Arial"/>
          <w:sz w:val="24"/>
          <w:szCs w:val="24"/>
        </w:rPr>
        <w:t>d</w:t>
      </w:r>
      <w:r w:rsidR="00BD4731">
        <w:rPr>
          <w:rFonts w:ascii="Arial" w:hAnsi="Arial" w:cs="Arial"/>
          <w:sz w:val="24"/>
          <w:szCs w:val="24"/>
        </w:rPr>
        <w:t>efendant</w:t>
      </w:r>
      <w:r w:rsidR="00510D91">
        <w:rPr>
          <w:rFonts w:ascii="Arial" w:hAnsi="Arial" w:cs="Arial"/>
          <w:sz w:val="24"/>
          <w:szCs w:val="24"/>
        </w:rPr>
        <w:t xml:space="preserve"> cited the example of the development of class action procedures, where our courts have developed procedural rules and </w:t>
      </w:r>
      <w:r w:rsidR="0070045A">
        <w:rPr>
          <w:rFonts w:ascii="Arial" w:hAnsi="Arial" w:cs="Arial"/>
          <w:sz w:val="24"/>
          <w:szCs w:val="24"/>
        </w:rPr>
        <w:t xml:space="preserve">the </w:t>
      </w:r>
      <w:r w:rsidR="00510D91">
        <w:rPr>
          <w:rFonts w:ascii="Arial" w:hAnsi="Arial" w:cs="Arial"/>
          <w:sz w:val="24"/>
          <w:szCs w:val="24"/>
        </w:rPr>
        <w:t>common law to allow for it</w:t>
      </w:r>
      <w:r w:rsidR="005E5806">
        <w:rPr>
          <w:rStyle w:val="FootnoteReference"/>
          <w:rFonts w:ascii="Arial" w:hAnsi="Arial" w:cs="Arial"/>
          <w:sz w:val="24"/>
          <w:szCs w:val="24"/>
        </w:rPr>
        <w:footnoteReference w:id="16"/>
      </w:r>
      <w:r w:rsidR="00510D91">
        <w:rPr>
          <w:rFonts w:ascii="Arial" w:hAnsi="Arial" w:cs="Arial"/>
          <w:sz w:val="24"/>
          <w:szCs w:val="24"/>
        </w:rPr>
        <w:t>.</w:t>
      </w:r>
      <w:r w:rsidR="00BD5CDC">
        <w:rPr>
          <w:rFonts w:ascii="Arial" w:hAnsi="Arial" w:cs="Arial"/>
          <w:sz w:val="24"/>
          <w:szCs w:val="24"/>
        </w:rPr>
        <w:t xml:space="preserve"> </w:t>
      </w:r>
    </w:p>
    <w:p w14:paraId="2665228C" w14:textId="77777777" w:rsidR="00BD75C0" w:rsidRDefault="00BD75C0" w:rsidP="0006276E">
      <w:pPr>
        <w:spacing w:line="480" w:lineRule="auto"/>
        <w:jc w:val="both"/>
        <w:rPr>
          <w:rFonts w:ascii="Arial" w:hAnsi="Arial" w:cs="Arial"/>
          <w:sz w:val="24"/>
          <w:szCs w:val="24"/>
        </w:rPr>
      </w:pPr>
    </w:p>
    <w:p w14:paraId="10EB13CD" w14:textId="77777777" w:rsidR="00697053" w:rsidRDefault="00510D91" w:rsidP="0006276E">
      <w:pPr>
        <w:spacing w:line="480" w:lineRule="auto"/>
        <w:jc w:val="both"/>
        <w:rPr>
          <w:rFonts w:ascii="Arial" w:hAnsi="Arial" w:cs="Arial"/>
          <w:sz w:val="24"/>
          <w:szCs w:val="24"/>
        </w:rPr>
      </w:pPr>
      <w:r>
        <w:rPr>
          <w:rFonts w:ascii="Arial" w:hAnsi="Arial" w:cs="Arial"/>
          <w:sz w:val="24"/>
          <w:szCs w:val="24"/>
        </w:rPr>
        <w:t>[</w:t>
      </w:r>
      <w:r w:rsidR="007B2594">
        <w:rPr>
          <w:rFonts w:ascii="Arial" w:hAnsi="Arial" w:cs="Arial"/>
          <w:sz w:val="24"/>
          <w:szCs w:val="24"/>
        </w:rPr>
        <w:t>24</w:t>
      </w:r>
      <w:r w:rsidR="00903A56">
        <w:rPr>
          <w:rFonts w:ascii="Arial" w:hAnsi="Arial" w:cs="Arial"/>
          <w:sz w:val="24"/>
          <w:szCs w:val="24"/>
        </w:rPr>
        <w:t>]</w:t>
      </w:r>
      <w:r w:rsidR="00903A56">
        <w:rPr>
          <w:rFonts w:ascii="Arial" w:hAnsi="Arial" w:cs="Arial"/>
          <w:sz w:val="24"/>
          <w:szCs w:val="24"/>
        </w:rPr>
        <w:tab/>
        <w:t>T</w:t>
      </w:r>
      <w:r>
        <w:rPr>
          <w:rFonts w:ascii="Arial" w:hAnsi="Arial" w:cs="Arial"/>
          <w:sz w:val="24"/>
          <w:szCs w:val="24"/>
        </w:rPr>
        <w:t xml:space="preserve">he </w:t>
      </w:r>
      <w:r w:rsidR="00BD4731">
        <w:rPr>
          <w:rFonts w:ascii="Arial" w:hAnsi="Arial" w:cs="Arial"/>
          <w:sz w:val="24"/>
          <w:szCs w:val="24"/>
        </w:rPr>
        <w:t>defendant</w:t>
      </w:r>
      <w:r w:rsidR="002738EE">
        <w:rPr>
          <w:rFonts w:ascii="Arial" w:hAnsi="Arial" w:cs="Arial"/>
          <w:sz w:val="24"/>
          <w:szCs w:val="24"/>
        </w:rPr>
        <w:t>s</w:t>
      </w:r>
      <w:r>
        <w:rPr>
          <w:rFonts w:ascii="Arial" w:hAnsi="Arial" w:cs="Arial"/>
          <w:sz w:val="24"/>
          <w:szCs w:val="24"/>
        </w:rPr>
        <w:t xml:space="preserve"> </w:t>
      </w:r>
      <w:r w:rsidR="00903A56">
        <w:rPr>
          <w:rFonts w:ascii="Arial" w:hAnsi="Arial" w:cs="Arial"/>
          <w:sz w:val="24"/>
          <w:szCs w:val="24"/>
        </w:rPr>
        <w:t xml:space="preserve">therefore </w:t>
      </w:r>
      <w:r w:rsidR="00D45CB0">
        <w:rPr>
          <w:rFonts w:ascii="Arial" w:hAnsi="Arial" w:cs="Arial"/>
          <w:sz w:val="24"/>
          <w:szCs w:val="24"/>
        </w:rPr>
        <w:t>contend for the</w:t>
      </w:r>
      <w:r>
        <w:rPr>
          <w:rFonts w:ascii="Arial" w:hAnsi="Arial" w:cs="Arial"/>
          <w:sz w:val="24"/>
          <w:szCs w:val="24"/>
        </w:rPr>
        <w:t xml:space="preserve"> development of the common law through the lens of either section 39(2)</w:t>
      </w:r>
      <w:r w:rsidR="006B68A1">
        <w:rPr>
          <w:rStyle w:val="FootnoteReference"/>
          <w:rFonts w:ascii="Arial" w:hAnsi="Arial" w:cs="Arial"/>
          <w:sz w:val="24"/>
          <w:szCs w:val="24"/>
        </w:rPr>
        <w:footnoteReference w:id="17"/>
      </w:r>
      <w:r>
        <w:rPr>
          <w:rFonts w:ascii="Arial" w:hAnsi="Arial" w:cs="Arial"/>
          <w:sz w:val="24"/>
          <w:szCs w:val="24"/>
        </w:rPr>
        <w:t xml:space="preserve"> or section 173</w:t>
      </w:r>
      <w:r w:rsidR="006B68A1">
        <w:rPr>
          <w:rStyle w:val="FootnoteReference"/>
          <w:rFonts w:ascii="Arial" w:hAnsi="Arial" w:cs="Arial"/>
          <w:sz w:val="24"/>
          <w:szCs w:val="24"/>
        </w:rPr>
        <w:footnoteReference w:id="18"/>
      </w:r>
      <w:r w:rsidR="002B425B">
        <w:rPr>
          <w:rFonts w:ascii="Arial" w:hAnsi="Arial" w:cs="Arial"/>
          <w:sz w:val="24"/>
          <w:szCs w:val="24"/>
        </w:rPr>
        <w:t xml:space="preserve"> of the Constitution</w:t>
      </w:r>
      <w:r w:rsidR="00F724EB">
        <w:rPr>
          <w:rFonts w:ascii="Arial" w:hAnsi="Arial" w:cs="Arial"/>
          <w:sz w:val="24"/>
          <w:szCs w:val="24"/>
        </w:rPr>
        <w:t>,</w:t>
      </w:r>
      <w:r w:rsidR="000C3ED2">
        <w:rPr>
          <w:rFonts w:ascii="Arial" w:hAnsi="Arial" w:cs="Arial"/>
          <w:sz w:val="24"/>
          <w:szCs w:val="24"/>
        </w:rPr>
        <w:t xml:space="preserve"> since s</w:t>
      </w:r>
      <w:r w:rsidR="00707D55">
        <w:rPr>
          <w:rFonts w:ascii="Arial" w:hAnsi="Arial" w:cs="Arial"/>
          <w:sz w:val="24"/>
          <w:szCs w:val="24"/>
        </w:rPr>
        <w:t>uch development would give proper protection to the right to freedom of expression in the context of</w:t>
      </w:r>
      <w:r w:rsidR="00E42875">
        <w:rPr>
          <w:rFonts w:ascii="Arial" w:hAnsi="Arial" w:cs="Arial"/>
          <w:sz w:val="24"/>
          <w:szCs w:val="24"/>
        </w:rPr>
        <w:t xml:space="preserve"> environmental debates.  I</w:t>
      </w:r>
      <w:r w:rsidR="00707D55">
        <w:rPr>
          <w:rFonts w:ascii="Arial" w:hAnsi="Arial" w:cs="Arial"/>
          <w:sz w:val="24"/>
          <w:szCs w:val="24"/>
        </w:rPr>
        <w:t xml:space="preserve">t </w:t>
      </w:r>
      <w:r>
        <w:rPr>
          <w:rFonts w:ascii="Arial" w:hAnsi="Arial" w:cs="Arial"/>
          <w:sz w:val="24"/>
          <w:szCs w:val="24"/>
        </w:rPr>
        <w:t>would</w:t>
      </w:r>
      <w:r w:rsidR="00E42875">
        <w:rPr>
          <w:rFonts w:ascii="Arial" w:hAnsi="Arial" w:cs="Arial"/>
          <w:sz w:val="24"/>
          <w:szCs w:val="24"/>
        </w:rPr>
        <w:t xml:space="preserve"> also</w:t>
      </w:r>
      <w:r>
        <w:rPr>
          <w:rFonts w:ascii="Arial" w:hAnsi="Arial" w:cs="Arial"/>
          <w:sz w:val="24"/>
          <w:szCs w:val="24"/>
        </w:rPr>
        <w:t xml:space="preserve"> be in line with the thi</w:t>
      </w:r>
      <w:r w:rsidR="00C5083C">
        <w:rPr>
          <w:rFonts w:ascii="Arial" w:hAnsi="Arial" w:cs="Arial"/>
          <w:sz w:val="24"/>
          <w:szCs w:val="24"/>
        </w:rPr>
        <w:t>nking of jurisdictions which</w:t>
      </w:r>
      <w:r>
        <w:rPr>
          <w:rFonts w:ascii="Arial" w:hAnsi="Arial" w:cs="Arial"/>
          <w:sz w:val="24"/>
          <w:szCs w:val="24"/>
        </w:rPr>
        <w:t xml:space="preserve"> placed protections against what is known as </w:t>
      </w:r>
      <w:r w:rsidRPr="00C5083C">
        <w:rPr>
          <w:rFonts w:ascii="Arial" w:hAnsi="Arial" w:cs="Arial"/>
          <w:i/>
          <w:sz w:val="24"/>
          <w:szCs w:val="24"/>
        </w:rPr>
        <w:t>“</w:t>
      </w:r>
      <w:r w:rsidR="00FF5CFD">
        <w:rPr>
          <w:rFonts w:ascii="Arial" w:hAnsi="Arial" w:cs="Arial"/>
          <w:i/>
          <w:sz w:val="24"/>
          <w:szCs w:val="24"/>
        </w:rPr>
        <w:t>SLAPP</w:t>
      </w:r>
      <w:r w:rsidRPr="00C5083C">
        <w:rPr>
          <w:rFonts w:ascii="Arial" w:hAnsi="Arial" w:cs="Arial"/>
          <w:i/>
          <w:sz w:val="24"/>
          <w:szCs w:val="24"/>
        </w:rPr>
        <w:t xml:space="preserve"> suits”.</w:t>
      </w:r>
      <w:r w:rsidR="008D47AD">
        <w:rPr>
          <w:rFonts w:ascii="Arial" w:hAnsi="Arial" w:cs="Arial"/>
          <w:sz w:val="24"/>
          <w:szCs w:val="24"/>
        </w:rPr>
        <w:t xml:space="preserve">  </w:t>
      </w:r>
      <w:r w:rsidR="00EF4213">
        <w:rPr>
          <w:rFonts w:ascii="Arial" w:hAnsi="Arial" w:cs="Arial"/>
          <w:sz w:val="24"/>
          <w:szCs w:val="24"/>
        </w:rPr>
        <w:t xml:space="preserve">The </w:t>
      </w:r>
      <w:r w:rsidR="00BD4731">
        <w:rPr>
          <w:rFonts w:ascii="Arial" w:hAnsi="Arial" w:cs="Arial"/>
          <w:sz w:val="24"/>
          <w:szCs w:val="24"/>
        </w:rPr>
        <w:t>defendant</w:t>
      </w:r>
      <w:r w:rsidR="00F724EB">
        <w:rPr>
          <w:rFonts w:ascii="Arial" w:hAnsi="Arial" w:cs="Arial"/>
          <w:sz w:val="24"/>
          <w:szCs w:val="24"/>
        </w:rPr>
        <w:t>s</w:t>
      </w:r>
      <w:r w:rsidR="00EF4213">
        <w:rPr>
          <w:rFonts w:ascii="Arial" w:hAnsi="Arial" w:cs="Arial"/>
          <w:sz w:val="24"/>
          <w:szCs w:val="24"/>
        </w:rPr>
        <w:t xml:space="preserve"> also took issue with </w:t>
      </w:r>
      <w:r w:rsidR="00A30572">
        <w:rPr>
          <w:rFonts w:ascii="Arial" w:hAnsi="Arial" w:cs="Arial"/>
          <w:sz w:val="24"/>
          <w:szCs w:val="24"/>
        </w:rPr>
        <w:t>p</w:t>
      </w:r>
      <w:r w:rsidR="002738EE">
        <w:rPr>
          <w:rFonts w:ascii="Arial" w:hAnsi="Arial" w:cs="Arial"/>
          <w:sz w:val="24"/>
          <w:szCs w:val="24"/>
        </w:rPr>
        <w:t>laintiff</w:t>
      </w:r>
      <w:r w:rsidR="00EF4213">
        <w:rPr>
          <w:rFonts w:ascii="Arial" w:hAnsi="Arial" w:cs="Arial"/>
          <w:sz w:val="24"/>
          <w:szCs w:val="24"/>
        </w:rPr>
        <w:t>s</w:t>
      </w:r>
      <w:r w:rsidR="00974F43">
        <w:rPr>
          <w:rFonts w:ascii="Arial" w:hAnsi="Arial" w:cs="Arial"/>
          <w:sz w:val="24"/>
          <w:szCs w:val="24"/>
        </w:rPr>
        <w:t>’</w:t>
      </w:r>
      <w:r w:rsidR="00EF4213">
        <w:rPr>
          <w:rFonts w:ascii="Arial" w:hAnsi="Arial" w:cs="Arial"/>
          <w:sz w:val="24"/>
          <w:szCs w:val="24"/>
        </w:rPr>
        <w:t xml:space="preserve"> late introduction of a procedural contention that, even if one can raise an abuse of process/</w:t>
      </w:r>
      <w:r w:rsidR="00FF5CFD">
        <w:rPr>
          <w:rFonts w:ascii="Arial" w:hAnsi="Arial" w:cs="Arial"/>
          <w:sz w:val="24"/>
          <w:szCs w:val="24"/>
        </w:rPr>
        <w:t>SLAPP</w:t>
      </w:r>
      <w:r w:rsidR="00EF4213">
        <w:rPr>
          <w:rFonts w:ascii="Arial" w:hAnsi="Arial" w:cs="Arial"/>
          <w:sz w:val="24"/>
          <w:szCs w:val="24"/>
        </w:rPr>
        <w:t xml:space="preserve"> defence, one can only do so by way of an application, not a special plea.</w:t>
      </w:r>
    </w:p>
    <w:p w14:paraId="25636921" w14:textId="77777777" w:rsidR="00BC3235" w:rsidRDefault="00BC3235" w:rsidP="00F54AF2">
      <w:pPr>
        <w:spacing w:after="0" w:line="240" w:lineRule="auto"/>
        <w:jc w:val="both"/>
        <w:rPr>
          <w:rFonts w:ascii="Arial" w:hAnsi="Arial" w:cs="Arial"/>
          <w:sz w:val="24"/>
          <w:szCs w:val="24"/>
        </w:rPr>
      </w:pPr>
    </w:p>
    <w:p w14:paraId="71C4DFAA" w14:textId="77777777" w:rsidR="000A64C5" w:rsidRDefault="007B2594" w:rsidP="00F56006">
      <w:pPr>
        <w:spacing w:line="480" w:lineRule="auto"/>
        <w:jc w:val="both"/>
        <w:rPr>
          <w:rFonts w:ascii="Arial" w:hAnsi="Arial" w:cs="Arial"/>
          <w:sz w:val="24"/>
          <w:szCs w:val="24"/>
        </w:rPr>
      </w:pPr>
      <w:r>
        <w:rPr>
          <w:rFonts w:ascii="Arial" w:hAnsi="Arial" w:cs="Arial"/>
          <w:sz w:val="24"/>
          <w:szCs w:val="24"/>
        </w:rPr>
        <w:lastRenderedPageBreak/>
        <w:t>[25</w:t>
      </w:r>
      <w:r w:rsidR="00F56006">
        <w:rPr>
          <w:rFonts w:ascii="Arial" w:hAnsi="Arial" w:cs="Arial"/>
          <w:sz w:val="24"/>
          <w:szCs w:val="24"/>
        </w:rPr>
        <w:t>]</w:t>
      </w:r>
      <w:r w:rsidR="00F56006">
        <w:rPr>
          <w:rFonts w:ascii="Arial" w:hAnsi="Arial" w:cs="Arial"/>
          <w:sz w:val="24"/>
          <w:szCs w:val="24"/>
        </w:rPr>
        <w:tab/>
        <w:t>The Centre for Applied Legal Studies (CALS) and the University of Cape Town</w:t>
      </w:r>
      <w:r w:rsidR="006B4B72">
        <w:rPr>
          <w:rFonts w:ascii="Arial" w:hAnsi="Arial" w:cs="Arial"/>
          <w:sz w:val="24"/>
          <w:szCs w:val="24"/>
        </w:rPr>
        <w:t xml:space="preserve"> (UCT)</w:t>
      </w:r>
      <w:r w:rsidR="00F56006">
        <w:rPr>
          <w:rFonts w:ascii="Arial" w:hAnsi="Arial" w:cs="Arial"/>
          <w:sz w:val="24"/>
          <w:szCs w:val="24"/>
        </w:rPr>
        <w:t xml:space="preserve"> applied and were admitted as amici curiae. CALS made submission on the nature of SLAPP suits and its application in other jurisdictions. They elaborated </w:t>
      </w:r>
      <w:r w:rsidR="00691D43">
        <w:rPr>
          <w:rFonts w:ascii="Arial" w:hAnsi="Arial" w:cs="Arial"/>
          <w:sz w:val="24"/>
          <w:szCs w:val="24"/>
        </w:rPr>
        <w:t>up</w:t>
      </w:r>
      <w:r w:rsidR="00F56006">
        <w:rPr>
          <w:rFonts w:ascii="Arial" w:hAnsi="Arial" w:cs="Arial"/>
          <w:sz w:val="24"/>
          <w:szCs w:val="24"/>
        </w:rPr>
        <w:t>on issues relating to abu</w:t>
      </w:r>
      <w:r w:rsidR="00E42875">
        <w:rPr>
          <w:rFonts w:ascii="Arial" w:hAnsi="Arial" w:cs="Arial"/>
          <w:sz w:val="24"/>
          <w:szCs w:val="24"/>
        </w:rPr>
        <w:t>se of process considerations as well as</w:t>
      </w:r>
      <w:r w:rsidR="00F56006">
        <w:rPr>
          <w:rFonts w:ascii="Arial" w:hAnsi="Arial" w:cs="Arial"/>
          <w:sz w:val="24"/>
          <w:szCs w:val="24"/>
        </w:rPr>
        <w:t xml:space="preserve"> the development of the common law with reference to </w:t>
      </w:r>
      <w:r w:rsidR="00F56006" w:rsidRPr="002B425B">
        <w:rPr>
          <w:rFonts w:ascii="Arial" w:hAnsi="Arial" w:cs="Arial"/>
          <w:sz w:val="24"/>
          <w:szCs w:val="24"/>
        </w:rPr>
        <w:t>Section 39(1)</w:t>
      </w:r>
      <w:r w:rsidR="006B68A1">
        <w:rPr>
          <w:rStyle w:val="FootnoteReference"/>
          <w:rFonts w:ascii="Arial" w:hAnsi="Arial" w:cs="Arial"/>
          <w:sz w:val="24"/>
          <w:szCs w:val="24"/>
        </w:rPr>
        <w:footnoteReference w:id="19"/>
      </w:r>
      <w:r w:rsidR="00F56006" w:rsidRPr="002B425B">
        <w:rPr>
          <w:rFonts w:ascii="Arial" w:hAnsi="Arial" w:cs="Arial"/>
          <w:sz w:val="24"/>
          <w:szCs w:val="24"/>
        </w:rPr>
        <w:t xml:space="preserve"> and 8(3)</w:t>
      </w:r>
      <w:r w:rsidR="00B94EB2">
        <w:rPr>
          <w:rStyle w:val="FootnoteReference"/>
          <w:rFonts w:ascii="Arial" w:hAnsi="Arial" w:cs="Arial"/>
          <w:sz w:val="24"/>
          <w:szCs w:val="24"/>
        </w:rPr>
        <w:footnoteReference w:id="20"/>
      </w:r>
      <w:r w:rsidR="00F56006" w:rsidRPr="002B425B">
        <w:rPr>
          <w:rFonts w:ascii="Arial" w:hAnsi="Arial" w:cs="Arial"/>
          <w:sz w:val="24"/>
          <w:szCs w:val="24"/>
        </w:rPr>
        <w:t xml:space="preserve"> of the C</w:t>
      </w:r>
      <w:r w:rsidR="006B4B72" w:rsidRPr="002B425B">
        <w:rPr>
          <w:rFonts w:ascii="Arial" w:hAnsi="Arial" w:cs="Arial"/>
          <w:sz w:val="24"/>
          <w:szCs w:val="24"/>
        </w:rPr>
        <w:t>onstitution</w:t>
      </w:r>
      <w:r w:rsidR="00691D43">
        <w:rPr>
          <w:rFonts w:ascii="Arial" w:hAnsi="Arial" w:cs="Arial"/>
          <w:b/>
          <w:sz w:val="24"/>
          <w:szCs w:val="24"/>
        </w:rPr>
        <w:t xml:space="preserve">. </w:t>
      </w:r>
      <w:r w:rsidR="006B4B72">
        <w:rPr>
          <w:rFonts w:ascii="Arial" w:hAnsi="Arial" w:cs="Arial"/>
          <w:sz w:val="24"/>
          <w:szCs w:val="24"/>
        </w:rPr>
        <w:t xml:space="preserve">CALS contends </w:t>
      </w:r>
      <w:r w:rsidR="00E42875">
        <w:rPr>
          <w:rFonts w:ascii="Arial" w:hAnsi="Arial" w:cs="Arial"/>
          <w:sz w:val="24"/>
          <w:szCs w:val="24"/>
        </w:rPr>
        <w:t xml:space="preserve">and emphasized that the development of </w:t>
      </w:r>
      <w:r w:rsidR="006B4B72">
        <w:rPr>
          <w:rFonts w:ascii="Arial" w:hAnsi="Arial" w:cs="Arial"/>
          <w:sz w:val="24"/>
          <w:szCs w:val="24"/>
        </w:rPr>
        <w:t>SLAPP suit defence</w:t>
      </w:r>
      <w:r w:rsidR="00E42875">
        <w:rPr>
          <w:rFonts w:ascii="Arial" w:hAnsi="Arial" w:cs="Arial"/>
          <w:sz w:val="24"/>
          <w:szCs w:val="24"/>
        </w:rPr>
        <w:t>s is</w:t>
      </w:r>
      <w:r w:rsidR="005847EA">
        <w:rPr>
          <w:rFonts w:ascii="Arial" w:hAnsi="Arial" w:cs="Arial"/>
          <w:sz w:val="24"/>
          <w:szCs w:val="24"/>
        </w:rPr>
        <w:t xml:space="preserve"> relatively new in South Africa. They opine that</w:t>
      </w:r>
      <w:r w:rsidR="00E42875">
        <w:rPr>
          <w:rFonts w:ascii="Arial" w:hAnsi="Arial" w:cs="Arial"/>
          <w:sz w:val="24"/>
          <w:szCs w:val="24"/>
        </w:rPr>
        <w:t xml:space="preserve"> it should be developed and stated that this class of defences</w:t>
      </w:r>
      <w:r w:rsidR="006B4B72">
        <w:rPr>
          <w:rFonts w:ascii="Arial" w:hAnsi="Arial" w:cs="Arial"/>
          <w:sz w:val="24"/>
          <w:szCs w:val="24"/>
        </w:rPr>
        <w:t xml:space="preserve"> is different from an abuse of process.</w:t>
      </w:r>
    </w:p>
    <w:p w14:paraId="28C5844E" w14:textId="77777777" w:rsidR="006B4B72" w:rsidRDefault="006B4B72" w:rsidP="00F56006">
      <w:pPr>
        <w:spacing w:line="480" w:lineRule="auto"/>
        <w:jc w:val="both"/>
        <w:rPr>
          <w:rFonts w:ascii="Arial" w:hAnsi="Arial" w:cs="Arial"/>
          <w:sz w:val="24"/>
          <w:szCs w:val="24"/>
        </w:rPr>
      </w:pPr>
    </w:p>
    <w:p w14:paraId="3C716E71" w14:textId="77777777" w:rsidR="006B4B72" w:rsidRDefault="007B2594" w:rsidP="000A64C5">
      <w:pPr>
        <w:spacing w:line="480" w:lineRule="auto"/>
        <w:jc w:val="both"/>
        <w:rPr>
          <w:rFonts w:ascii="Arial" w:hAnsi="Arial" w:cs="Arial"/>
          <w:sz w:val="24"/>
          <w:szCs w:val="24"/>
        </w:rPr>
      </w:pPr>
      <w:r>
        <w:rPr>
          <w:rFonts w:ascii="Arial" w:hAnsi="Arial" w:cs="Arial"/>
          <w:sz w:val="24"/>
          <w:szCs w:val="24"/>
        </w:rPr>
        <w:t>[26</w:t>
      </w:r>
      <w:r w:rsidR="00F56006">
        <w:rPr>
          <w:rFonts w:ascii="Arial" w:hAnsi="Arial" w:cs="Arial"/>
          <w:sz w:val="24"/>
          <w:szCs w:val="24"/>
        </w:rPr>
        <w:t>]</w:t>
      </w:r>
      <w:r w:rsidR="00F56006">
        <w:rPr>
          <w:rFonts w:ascii="Arial" w:hAnsi="Arial" w:cs="Arial"/>
          <w:sz w:val="24"/>
          <w:szCs w:val="24"/>
        </w:rPr>
        <w:tab/>
        <w:t>UCT addressed the issue of the protection of academic</w:t>
      </w:r>
      <w:r w:rsidR="008C2A31">
        <w:rPr>
          <w:rFonts w:ascii="Arial" w:hAnsi="Arial" w:cs="Arial"/>
          <w:sz w:val="24"/>
          <w:szCs w:val="24"/>
        </w:rPr>
        <w:t xml:space="preserve"> freedom</w:t>
      </w:r>
      <w:r w:rsidR="006B4B72">
        <w:rPr>
          <w:rFonts w:ascii="Arial" w:hAnsi="Arial" w:cs="Arial"/>
          <w:sz w:val="24"/>
          <w:szCs w:val="24"/>
        </w:rPr>
        <w:t xml:space="preserve"> as provided</w:t>
      </w:r>
      <w:r w:rsidR="00E42875">
        <w:rPr>
          <w:rFonts w:ascii="Arial" w:hAnsi="Arial" w:cs="Arial"/>
          <w:sz w:val="24"/>
          <w:szCs w:val="24"/>
        </w:rPr>
        <w:t xml:space="preserve"> for</w:t>
      </w:r>
      <w:r w:rsidR="006B4B72">
        <w:rPr>
          <w:rFonts w:ascii="Arial" w:hAnsi="Arial" w:cs="Arial"/>
          <w:sz w:val="24"/>
          <w:szCs w:val="24"/>
        </w:rPr>
        <w:t xml:space="preserve"> in </w:t>
      </w:r>
      <w:r w:rsidR="006B4B72" w:rsidRPr="006B4B72">
        <w:rPr>
          <w:rFonts w:ascii="Arial" w:hAnsi="Arial" w:cs="Arial"/>
          <w:sz w:val="24"/>
          <w:szCs w:val="24"/>
        </w:rPr>
        <w:t>Section 16(1)d</w:t>
      </w:r>
      <w:r w:rsidR="00B94EB2">
        <w:rPr>
          <w:rStyle w:val="FootnoteReference"/>
          <w:rFonts w:ascii="Arial" w:hAnsi="Arial" w:cs="Arial"/>
          <w:sz w:val="24"/>
          <w:szCs w:val="24"/>
        </w:rPr>
        <w:footnoteReference w:id="21"/>
      </w:r>
      <w:r w:rsidR="006B4B72" w:rsidRPr="006B4B72">
        <w:rPr>
          <w:rFonts w:ascii="Arial" w:hAnsi="Arial" w:cs="Arial"/>
          <w:sz w:val="24"/>
          <w:szCs w:val="24"/>
        </w:rPr>
        <w:t xml:space="preserve"> of the Constitution</w:t>
      </w:r>
      <w:r w:rsidR="008C2A31" w:rsidRPr="006B4B72">
        <w:rPr>
          <w:rFonts w:ascii="Arial" w:hAnsi="Arial" w:cs="Arial"/>
          <w:sz w:val="24"/>
          <w:szCs w:val="24"/>
        </w:rPr>
        <w:t>.</w:t>
      </w:r>
      <w:r w:rsidR="008C2A31">
        <w:rPr>
          <w:rFonts w:ascii="Arial" w:hAnsi="Arial" w:cs="Arial"/>
          <w:sz w:val="24"/>
          <w:szCs w:val="24"/>
        </w:rPr>
        <w:t xml:space="preserve"> They contend that the university invited the defendants in their capacity as</w:t>
      </w:r>
      <w:r w:rsidR="00F56006">
        <w:rPr>
          <w:rFonts w:ascii="Arial" w:hAnsi="Arial" w:cs="Arial"/>
          <w:sz w:val="24"/>
          <w:szCs w:val="24"/>
        </w:rPr>
        <w:t xml:space="preserve"> activists and members of the </w:t>
      </w:r>
      <w:r w:rsidR="00E42875">
        <w:rPr>
          <w:rFonts w:ascii="Arial" w:hAnsi="Arial" w:cs="Arial"/>
          <w:sz w:val="24"/>
          <w:szCs w:val="24"/>
        </w:rPr>
        <w:t xml:space="preserve">legal profession as part of an </w:t>
      </w:r>
      <w:r w:rsidR="00F56006">
        <w:rPr>
          <w:rFonts w:ascii="Arial" w:hAnsi="Arial" w:cs="Arial"/>
          <w:sz w:val="24"/>
          <w:szCs w:val="24"/>
        </w:rPr>
        <w:t>academic project, challengi</w:t>
      </w:r>
      <w:r w:rsidR="00C762E3">
        <w:rPr>
          <w:rFonts w:ascii="Arial" w:hAnsi="Arial" w:cs="Arial"/>
          <w:sz w:val="24"/>
          <w:szCs w:val="24"/>
        </w:rPr>
        <w:t>ng mining activities on the Wild</w:t>
      </w:r>
      <w:r w:rsidR="00F56006">
        <w:rPr>
          <w:rFonts w:ascii="Arial" w:hAnsi="Arial" w:cs="Arial"/>
          <w:sz w:val="24"/>
          <w:szCs w:val="24"/>
        </w:rPr>
        <w:t xml:space="preserve"> Coast. They emphasized that academics should not be at risk of liability if a company’s reputation is tainted along the way, and corporations </w:t>
      </w:r>
      <w:r w:rsidR="00E42875">
        <w:rPr>
          <w:rFonts w:ascii="Arial" w:hAnsi="Arial" w:cs="Arial"/>
          <w:sz w:val="24"/>
          <w:szCs w:val="24"/>
        </w:rPr>
        <w:t>should not be allowed to sue</w:t>
      </w:r>
      <w:r w:rsidR="00F56006">
        <w:rPr>
          <w:rFonts w:ascii="Arial" w:hAnsi="Arial" w:cs="Arial"/>
          <w:sz w:val="24"/>
          <w:szCs w:val="24"/>
        </w:rPr>
        <w:t xml:space="preserve"> activists for defamation for what they h</w:t>
      </w:r>
      <w:r w:rsidR="008C2A31">
        <w:rPr>
          <w:rFonts w:ascii="Arial" w:hAnsi="Arial" w:cs="Arial"/>
          <w:sz w:val="24"/>
          <w:szCs w:val="24"/>
        </w:rPr>
        <w:t>ad stated during a course</w:t>
      </w:r>
      <w:r w:rsidR="00E42875">
        <w:rPr>
          <w:rFonts w:ascii="Arial" w:hAnsi="Arial" w:cs="Arial"/>
          <w:sz w:val="24"/>
          <w:szCs w:val="24"/>
        </w:rPr>
        <w:t xml:space="preserve"> and discussions</w:t>
      </w:r>
      <w:r w:rsidR="008C2A31">
        <w:rPr>
          <w:rFonts w:ascii="Arial" w:hAnsi="Arial" w:cs="Arial"/>
          <w:sz w:val="24"/>
          <w:szCs w:val="24"/>
        </w:rPr>
        <w:t xml:space="preserve"> at the university</w:t>
      </w:r>
      <w:r w:rsidR="00F56006">
        <w:rPr>
          <w:rFonts w:ascii="Arial" w:hAnsi="Arial" w:cs="Arial"/>
          <w:sz w:val="24"/>
          <w:szCs w:val="24"/>
        </w:rPr>
        <w:t xml:space="preserve">. They stated that </w:t>
      </w:r>
      <w:r w:rsidR="005847EA">
        <w:rPr>
          <w:rFonts w:ascii="Arial" w:hAnsi="Arial" w:cs="Arial"/>
          <w:sz w:val="24"/>
          <w:szCs w:val="24"/>
        </w:rPr>
        <w:t xml:space="preserve">pursuit of </w:t>
      </w:r>
      <w:r w:rsidR="00F56006">
        <w:rPr>
          <w:rFonts w:ascii="Arial" w:hAnsi="Arial" w:cs="Arial"/>
          <w:sz w:val="24"/>
          <w:szCs w:val="24"/>
        </w:rPr>
        <w:t>academic freedom</w:t>
      </w:r>
      <w:r w:rsidR="005847EA">
        <w:rPr>
          <w:rFonts w:ascii="Arial" w:hAnsi="Arial" w:cs="Arial"/>
          <w:sz w:val="24"/>
          <w:szCs w:val="24"/>
        </w:rPr>
        <w:t xml:space="preserve"> and opinion</w:t>
      </w:r>
      <w:r w:rsidR="00F56006">
        <w:rPr>
          <w:rFonts w:ascii="Arial" w:hAnsi="Arial" w:cs="Arial"/>
          <w:sz w:val="24"/>
          <w:szCs w:val="24"/>
        </w:rPr>
        <w:t xml:space="preserve"> is vital in our constitutional </w:t>
      </w:r>
      <w:r w:rsidR="00E42875">
        <w:rPr>
          <w:rFonts w:ascii="Arial" w:hAnsi="Arial" w:cs="Arial"/>
          <w:sz w:val="24"/>
          <w:szCs w:val="24"/>
        </w:rPr>
        <w:t xml:space="preserve">dispensation and </w:t>
      </w:r>
      <w:r w:rsidR="005847EA">
        <w:rPr>
          <w:rFonts w:ascii="Arial" w:hAnsi="Arial" w:cs="Arial"/>
          <w:sz w:val="24"/>
          <w:szCs w:val="24"/>
        </w:rPr>
        <w:t xml:space="preserve">for our </w:t>
      </w:r>
      <w:r w:rsidR="00E42875">
        <w:rPr>
          <w:rFonts w:ascii="Arial" w:hAnsi="Arial" w:cs="Arial"/>
          <w:sz w:val="24"/>
          <w:szCs w:val="24"/>
        </w:rPr>
        <w:t>democracy. T</w:t>
      </w:r>
      <w:r w:rsidR="00F56006">
        <w:rPr>
          <w:rFonts w:ascii="Arial" w:hAnsi="Arial" w:cs="Arial"/>
          <w:sz w:val="24"/>
          <w:szCs w:val="24"/>
        </w:rPr>
        <w:t xml:space="preserve">he law should </w:t>
      </w:r>
      <w:r w:rsidR="00A07B91">
        <w:rPr>
          <w:rFonts w:ascii="Arial" w:hAnsi="Arial" w:cs="Arial"/>
          <w:sz w:val="24"/>
          <w:szCs w:val="24"/>
        </w:rPr>
        <w:t xml:space="preserve">recognize qualified privilege for </w:t>
      </w:r>
      <w:r w:rsidR="00A07B91">
        <w:rPr>
          <w:rFonts w:ascii="Arial" w:hAnsi="Arial" w:cs="Arial"/>
          <w:sz w:val="24"/>
          <w:szCs w:val="24"/>
        </w:rPr>
        <w:lastRenderedPageBreak/>
        <w:t>academic speech</w:t>
      </w:r>
      <w:r w:rsidR="00E42875">
        <w:rPr>
          <w:rFonts w:ascii="Arial" w:hAnsi="Arial" w:cs="Arial"/>
          <w:sz w:val="24"/>
          <w:szCs w:val="24"/>
        </w:rPr>
        <w:t xml:space="preserve"> and pursuit</w:t>
      </w:r>
      <w:r w:rsidR="00A07B91">
        <w:rPr>
          <w:rFonts w:ascii="Arial" w:hAnsi="Arial" w:cs="Arial"/>
          <w:sz w:val="24"/>
          <w:szCs w:val="24"/>
        </w:rPr>
        <w:t>.</w:t>
      </w:r>
      <w:r w:rsidR="008C2A31" w:rsidRPr="008C2A31">
        <w:rPr>
          <w:rFonts w:ascii="Arial" w:hAnsi="Arial" w:cs="Arial"/>
          <w:sz w:val="24"/>
          <w:szCs w:val="24"/>
        </w:rPr>
        <w:t xml:space="preserve"> </w:t>
      </w:r>
      <w:r w:rsidR="008C2A31">
        <w:rPr>
          <w:rFonts w:ascii="Arial" w:hAnsi="Arial" w:cs="Arial"/>
          <w:sz w:val="24"/>
          <w:szCs w:val="24"/>
        </w:rPr>
        <w:t xml:space="preserve">Furthermore, they contend </w:t>
      </w:r>
      <w:r w:rsidR="00E42875">
        <w:rPr>
          <w:rFonts w:ascii="Arial" w:hAnsi="Arial" w:cs="Arial"/>
          <w:sz w:val="24"/>
          <w:szCs w:val="24"/>
        </w:rPr>
        <w:t xml:space="preserve">that it is indispensable and </w:t>
      </w:r>
      <w:r w:rsidR="00691D43">
        <w:rPr>
          <w:rFonts w:ascii="Arial" w:hAnsi="Arial" w:cs="Arial"/>
          <w:sz w:val="24"/>
          <w:szCs w:val="24"/>
        </w:rPr>
        <w:t>foreseeable</w:t>
      </w:r>
      <w:r w:rsidR="00E42875">
        <w:rPr>
          <w:rFonts w:ascii="Arial" w:hAnsi="Arial" w:cs="Arial"/>
          <w:sz w:val="24"/>
          <w:szCs w:val="24"/>
        </w:rPr>
        <w:t xml:space="preserve"> for the </w:t>
      </w:r>
      <w:r w:rsidR="008C2A31">
        <w:rPr>
          <w:rFonts w:ascii="Arial" w:hAnsi="Arial" w:cs="Arial"/>
          <w:sz w:val="24"/>
          <w:szCs w:val="24"/>
        </w:rPr>
        <w:t>common law</w:t>
      </w:r>
      <w:r w:rsidR="00E42875">
        <w:rPr>
          <w:rFonts w:ascii="Arial" w:hAnsi="Arial" w:cs="Arial"/>
          <w:sz w:val="24"/>
          <w:szCs w:val="24"/>
        </w:rPr>
        <w:t xml:space="preserve"> to be developed and to </w:t>
      </w:r>
      <w:r w:rsidR="008C2A31">
        <w:rPr>
          <w:rFonts w:ascii="Arial" w:hAnsi="Arial" w:cs="Arial"/>
          <w:sz w:val="24"/>
          <w:szCs w:val="24"/>
        </w:rPr>
        <w:t>afford academic freedom a greater importance</w:t>
      </w:r>
      <w:r w:rsidR="00691D43">
        <w:rPr>
          <w:rFonts w:ascii="Arial" w:hAnsi="Arial" w:cs="Arial"/>
          <w:sz w:val="24"/>
          <w:szCs w:val="24"/>
        </w:rPr>
        <w:t xml:space="preserve">, and to protect academics from exposure to </w:t>
      </w:r>
      <w:r w:rsidR="00E42875">
        <w:rPr>
          <w:rFonts w:ascii="Arial" w:hAnsi="Arial" w:cs="Arial"/>
          <w:sz w:val="24"/>
          <w:szCs w:val="24"/>
        </w:rPr>
        <w:t xml:space="preserve">liability </w:t>
      </w:r>
      <w:r w:rsidR="00691D43">
        <w:rPr>
          <w:rFonts w:ascii="Arial" w:hAnsi="Arial" w:cs="Arial"/>
          <w:sz w:val="24"/>
          <w:szCs w:val="24"/>
        </w:rPr>
        <w:t xml:space="preserve">in defamation lawsuits instituted by large </w:t>
      </w:r>
      <w:r w:rsidR="008C2A31">
        <w:rPr>
          <w:rFonts w:ascii="Arial" w:hAnsi="Arial" w:cs="Arial"/>
          <w:sz w:val="24"/>
          <w:szCs w:val="24"/>
        </w:rPr>
        <w:t>corporations.</w:t>
      </w:r>
    </w:p>
    <w:p w14:paraId="66A6B12D" w14:textId="77777777" w:rsidR="00EF4B13" w:rsidRDefault="00EF4B13" w:rsidP="000A64C5">
      <w:pPr>
        <w:spacing w:line="480" w:lineRule="auto"/>
        <w:jc w:val="both"/>
        <w:rPr>
          <w:rFonts w:ascii="Arial" w:hAnsi="Arial" w:cs="Arial"/>
          <w:sz w:val="24"/>
          <w:szCs w:val="24"/>
        </w:rPr>
      </w:pPr>
    </w:p>
    <w:p w14:paraId="23E7FA2B" w14:textId="77777777" w:rsidR="00BC3235" w:rsidRDefault="007B2594" w:rsidP="000A64C5">
      <w:pPr>
        <w:spacing w:line="480" w:lineRule="auto"/>
        <w:jc w:val="both"/>
        <w:rPr>
          <w:rFonts w:ascii="Arial" w:hAnsi="Arial" w:cs="Arial"/>
          <w:sz w:val="24"/>
          <w:szCs w:val="24"/>
        </w:rPr>
      </w:pPr>
      <w:r>
        <w:rPr>
          <w:rFonts w:ascii="Arial" w:hAnsi="Arial" w:cs="Arial"/>
          <w:sz w:val="24"/>
          <w:szCs w:val="24"/>
        </w:rPr>
        <w:t>[27</w:t>
      </w:r>
      <w:r w:rsidR="008C2A31">
        <w:rPr>
          <w:rFonts w:ascii="Arial" w:hAnsi="Arial" w:cs="Arial"/>
          <w:sz w:val="24"/>
          <w:szCs w:val="24"/>
        </w:rPr>
        <w:t>]</w:t>
      </w:r>
      <w:r w:rsidR="008C2A31">
        <w:rPr>
          <w:rFonts w:ascii="Arial" w:hAnsi="Arial" w:cs="Arial"/>
          <w:sz w:val="24"/>
          <w:szCs w:val="24"/>
        </w:rPr>
        <w:tab/>
        <w:t>The university</w:t>
      </w:r>
      <w:r w:rsidR="00A07B91">
        <w:rPr>
          <w:rFonts w:ascii="Arial" w:hAnsi="Arial" w:cs="Arial"/>
          <w:sz w:val="24"/>
          <w:szCs w:val="24"/>
        </w:rPr>
        <w:t xml:space="preserve"> contends that SLAPP suits will have a chilling effect on academic activities. </w:t>
      </w:r>
      <w:r w:rsidR="008C2A31">
        <w:rPr>
          <w:rFonts w:ascii="Arial" w:hAnsi="Arial" w:cs="Arial"/>
          <w:sz w:val="24"/>
          <w:szCs w:val="24"/>
        </w:rPr>
        <w:t xml:space="preserve">It was submitted that </w:t>
      </w:r>
      <w:r w:rsidR="00A07B91">
        <w:rPr>
          <w:rFonts w:ascii="Arial" w:hAnsi="Arial" w:cs="Arial"/>
          <w:sz w:val="24"/>
          <w:szCs w:val="24"/>
        </w:rPr>
        <w:t>SLAPP suits will deter academics from investigating and challenging harmful conduct, more particularly relating to deep questions on environmental issues.</w:t>
      </w:r>
    </w:p>
    <w:p w14:paraId="15750FE7" w14:textId="77777777" w:rsidR="00BC3235" w:rsidRDefault="00BC3235" w:rsidP="00F54AF2">
      <w:pPr>
        <w:spacing w:after="0" w:line="240" w:lineRule="auto"/>
        <w:jc w:val="both"/>
        <w:rPr>
          <w:rFonts w:ascii="Arial" w:hAnsi="Arial" w:cs="Arial"/>
          <w:sz w:val="24"/>
          <w:szCs w:val="24"/>
        </w:rPr>
      </w:pPr>
    </w:p>
    <w:p w14:paraId="46EFC0F2" w14:textId="77777777" w:rsidR="00BC3235" w:rsidRDefault="00BC3235" w:rsidP="00F54AF2">
      <w:pPr>
        <w:spacing w:after="0" w:line="240" w:lineRule="auto"/>
        <w:jc w:val="both"/>
        <w:rPr>
          <w:rFonts w:ascii="Arial" w:hAnsi="Arial" w:cs="Arial"/>
          <w:sz w:val="24"/>
          <w:szCs w:val="24"/>
        </w:rPr>
      </w:pPr>
    </w:p>
    <w:p w14:paraId="76C9EE4F" w14:textId="77777777" w:rsidR="000F4E31" w:rsidRDefault="00F21CD9" w:rsidP="00F54AF2">
      <w:pPr>
        <w:spacing w:line="480" w:lineRule="auto"/>
        <w:jc w:val="both"/>
        <w:rPr>
          <w:rFonts w:ascii="Arial" w:hAnsi="Arial" w:cs="Arial"/>
          <w:sz w:val="24"/>
          <w:szCs w:val="24"/>
        </w:rPr>
      </w:pPr>
      <w:r>
        <w:rPr>
          <w:rFonts w:ascii="Arial" w:hAnsi="Arial" w:cs="Arial"/>
          <w:b/>
          <w:sz w:val="24"/>
          <w:szCs w:val="24"/>
          <w:u w:val="single"/>
        </w:rPr>
        <w:t>Legal F</w:t>
      </w:r>
      <w:r w:rsidR="00452539">
        <w:rPr>
          <w:rFonts w:ascii="Arial" w:hAnsi="Arial" w:cs="Arial"/>
          <w:b/>
          <w:sz w:val="24"/>
          <w:szCs w:val="24"/>
          <w:u w:val="single"/>
        </w:rPr>
        <w:t>ramework:</w:t>
      </w:r>
    </w:p>
    <w:p w14:paraId="3BC84A34" w14:textId="77777777" w:rsidR="00F54AF2" w:rsidRPr="00F54AF2" w:rsidRDefault="00F54AF2" w:rsidP="00F54AF2">
      <w:pPr>
        <w:spacing w:after="0" w:line="240" w:lineRule="auto"/>
        <w:jc w:val="both"/>
        <w:rPr>
          <w:rFonts w:ascii="Arial" w:hAnsi="Arial" w:cs="Arial"/>
          <w:sz w:val="24"/>
          <w:szCs w:val="24"/>
        </w:rPr>
      </w:pPr>
    </w:p>
    <w:p w14:paraId="0DD39053" w14:textId="77777777" w:rsidR="00246AA1" w:rsidRDefault="00452539" w:rsidP="00697053">
      <w:pPr>
        <w:spacing w:line="480" w:lineRule="auto"/>
        <w:jc w:val="both"/>
        <w:rPr>
          <w:rFonts w:ascii="Arial" w:hAnsi="Arial" w:cs="Arial"/>
          <w:sz w:val="24"/>
          <w:szCs w:val="24"/>
        </w:rPr>
      </w:pPr>
      <w:r>
        <w:rPr>
          <w:rFonts w:ascii="Arial" w:hAnsi="Arial" w:cs="Arial"/>
          <w:sz w:val="24"/>
          <w:szCs w:val="24"/>
        </w:rPr>
        <w:t>[</w:t>
      </w:r>
      <w:r w:rsidR="007B2594">
        <w:rPr>
          <w:rFonts w:ascii="Arial" w:hAnsi="Arial" w:cs="Arial"/>
          <w:sz w:val="24"/>
          <w:szCs w:val="24"/>
        </w:rPr>
        <w:t>28</w:t>
      </w:r>
      <w:r>
        <w:rPr>
          <w:rFonts w:ascii="Arial" w:hAnsi="Arial" w:cs="Arial"/>
          <w:sz w:val="24"/>
          <w:szCs w:val="24"/>
        </w:rPr>
        <w:t>]</w:t>
      </w:r>
      <w:r>
        <w:rPr>
          <w:rFonts w:ascii="Arial" w:hAnsi="Arial" w:cs="Arial"/>
          <w:sz w:val="24"/>
          <w:szCs w:val="24"/>
        </w:rPr>
        <w:tab/>
      </w:r>
      <w:r w:rsidR="006B4B72">
        <w:rPr>
          <w:rFonts w:ascii="Arial" w:hAnsi="Arial" w:cs="Arial"/>
          <w:sz w:val="24"/>
          <w:szCs w:val="24"/>
        </w:rPr>
        <w:t>The</w:t>
      </w:r>
      <w:r w:rsidR="00EF4B13">
        <w:rPr>
          <w:rFonts w:ascii="Arial" w:hAnsi="Arial" w:cs="Arial"/>
          <w:sz w:val="24"/>
          <w:szCs w:val="24"/>
        </w:rPr>
        <w:t xml:space="preserve"> c</w:t>
      </w:r>
      <w:r w:rsidR="00742B8F">
        <w:rPr>
          <w:rFonts w:ascii="Arial" w:hAnsi="Arial" w:cs="Arial"/>
          <w:sz w:val="24"/>
          <w:szCs w:val="24"/>
        </w:rPr>
        <w:t xml:space="preserve">ommon law </w:t>
      </w:r>
      <w:r w:rsidR="00246AA1">
        <w:rPr>
          <w:rFonts w:ascii="Arial" w:hAnsi="Arial" w:cs="Arial"/>
          <w:sz w:val="24"/>
          <w:szCs w:val="24"/>
        </w:rPr>
        <w:t>affords the c</w:t>
      </w:r>
      <w:r w:rsidR="006B4B72">
        <w:rPr>
          <w:rFonts w:ascii="Arial" w:hAnsi="Arial" w:cs="Arial"/>
          <w:sz w:val="24"/>
          <w:szCs w:val="24"/>
        </w:rPr>
        <w:t xml:space="preserve">ourts the inherent power to </w:t>
      </w:r>
      <w:r w:rsidR="002B425B">
        <w:rPr>
          <w:rFonts w:ascii="Arial" w:hAnsi="Arial" w:cs="Arial"/>
          <w:sz w:val="24"/>
          <w:szCs w:val="24"/>
        </w:rPr>
        <w:t>stop frivolous and vexatious proceedings when they amount to an abuse of its processes</w:t>
      </w:r>
      <w:r w:rsidR="00B94EB2">
        <w:rPr>
          <w:rStyle w:val="FootnoteReference"/>
          <w:rFonts w:ascii="Arial" w:hAnsi="Arial" w:cs="Arial"/>
          <w:sz w:val="24"/>
          <w:szCs w:val="24"/>
        </w:rPr>
        <w:footnoteReference w:id="22"/>
      </w:r>
      <w:r w:rsidR="002B425B">
        <w:rPr>
          <w:rFonts w:ascii="Arial" w:hAnsi="Arial" w:cs="Arial"/>
          <w:sz w:val="24"/>
          <w:szCs w:val="24"/>
        </w:rPr>
        <w:t>.</w:t>
      </w:r>
      <w:r w:rsidR="00246AA1">
        <w:rPr>
          <w:rFonts w:ascii="Arial" w:hAnsi="Arial" w:cs="Arial"/>
          <w:sz w:val="24"/>
          <w:szCs w:val="24"/>
        </w:rPr>
        <w:t xml:space="preserve"> </w:t>
      </w:r>
      <w:r w:rsidR="006B4B72">
        <w:rPr>
          <w:rFonts w:ascii="Arial" w:hAnsi="Arial" w:cs="Arial"/>
          <w:sz w:val="24"/>
          <w:szCs w:val="24"/>
        </w:rPr>
        <w:t>In</w:t>
      </w:r>
      <w:r w:rsidR="006B4B72" w:rsidRPr="006B4B72">
        <w:rPr>
          <w:rFonts w:ascii="Arial" w:hAnsi="Arial" w:cs="Arial"/>
          <w:b/>
          <w:sz w:val="24"/>
          <w:szCs w:val="24"/>
        </w:rPr>
        <w:t xml:space="preserve"> Lawyers for Human Rights v Minister in the Presidency</w:t>
      </w:r>
      <w:r w:rsidR="000F0053" w:rsidRPr="001365AA">
        <w:rPr>
          <w:rStyle w:val="FootnoteReference"/>
          <w:rFonts w:ascii="Arial" w:hAnsi="Arial" w:cs="Arial"/>
          <w:sz w:val="24"/>
          <w:szCs w:val="24"/>
        </w:rPr>
        <w:footnoteReference w:id="23"/>
      </w:r>
      <w:r w:rsidR="006B4B72">
        <w:rPr>
          <w:rFonts w:ascii="Arial" w:hAnsi="Arial" w:cs="Arial"/>
          <w:sz w:val="24"/>
          <w:szCs w:val="24"/>
        </w:rPr>
        <w:t xml:space="preserve">  the Constitutional Court reiterated that the courts have the power and indeed a duty to prevent the abuse of their process. </w:t>
      </w:r>
      <w:r w:rsidR="00246AA1">
        <w:rPr>
          <w:rFonts w:ascii="Arial" w:hAnsi="Arial" w:cs="Arial"/>
          <w:sz w:val="24"/>
          <w:szCs w:val="24"/>
        </w:rPr>
        <w:t>The power to strike out must be exercised with very great caution, and only in a clear case.</w:t>
      </w:r>
      <w:r w:rsidR="000F0053">
        <w:rPr>
          <w:rStyle w:val="FootnoteReference"/>
          <w:rFonts w:ascii="Arial" w:hAnsi="Arial" w:cs="Arial"/>
          <w:sz w:val="24"/>
          <w:szCs w:val="24"/>
        </w:rPr>
        <w:footnoteReference w:id="24"/>
      </w:r>
    </w:p>
    <w:p w14:paraId="0854750E" w14:textId="77777777" w:rsidR="00B44E56" w:rsidRDefault="00B44E56" w:rsidP="00B44E56">
      <w:pPr>
        <w:spacing w:after="0" w:line="240" w:lineRule="auto"/>
        <w:jc w:val="both"/>
        <w:rPr>
          <w:rFonts w:ascii="Arial" w:hAnsi="Arial" w:cs="Arial"/>
          <w:sz w:val="24"/>
          <w:szCs w:val="24"/>
        </w:rPr>
      </w:pPr>
    </w:p>
    <w:p w14:paraId="2B1B56B4" w14:textId="77777777" w:rsidR="00697053" w:rsidRPr="002B425B" w:rsidRDefault="0098029E" w:rsidP="00697053">
      <w:pPr>
        <w:spacing w:line="480" w:lineRule="auto"/>
        <w:jc w:val="both"/>
        <w:rPr>
          <w:rFonts w:ascii="Arial" w:hAnsi="Arial" w:cs="Arial"/>
          <w:sz w:val="24"/>
          <w:szCs w:val="24"/>
        </w:rPr>
      </w:pPr>
      <w:r>
        <w:rPr>
          <w:rFonts w:ascii="Arial" w:hAnsi="Arial" w:cs="Arial"/>
          <w:sz w:val="24"/>
          <w:szCs w:val="24"/>
        </w:rPr>
        <w:lastRenderedPageBreak/>
        <w:t>[</w:t>
      </w:r>
      <w:r w:rsidR="007B2594">
        <w:rPr>
          <w:rFonts w:ascii="Arial" w:hAnsi="Arial" w:cs="Arial"/>
          <w:sz w:val="24"/>
          <w:szCs w:val="24"/>
        </w:rPr>
        <w:t>29</w:t>
      </w:r>
      <w:r w:rsidR="00246AA1">
        <w:rPr>
          <w:rFonts w:ascii="Arial" w:hAnsi="Arial" w:cs="Arial"/>
          <w:sz w:val="24"/>
          <w:szCs w:val="24"/>
        </w:rPr>
        <w:t>]</w:t>
      </w:r>
      <w:r w:rsidR="00246AA1">
        <w:rPr>
          <w:rFonts w:ascii="Arial" w:hAnsi="Arial" w:cs="Arial"/>
          <w:sz w:val="24"/>
          <w:szCs w:val="24"/>
        </w:rPr>
        <w:tab/>
      </w:r>
      <w:r w:rsidR="00452539">
        <w:rPr>
          <w:rFonts w:ascii="Arial" w:hAnsi="Arial" w:cs="Arial"/>
          <w:sz w:val="24"/>
          <w:szCs w:val="24"/>
        </w:rPr>
        <w:t>Section 173</w:t>
      </w:r>
      <w:r w:rsidR="001D29AA">
        <w:rPr>
          <w:rStyle w:val="FootnoteReference"/>
          <w:rFonts w:ascii="Arial" w:hAnsi="Arial" w:cs="Arial"/>
          <w:sz w:val="24"/>
          <w:szCs w:val="24"/>
        </w:rPr>
        <w:footnoteReference w:id="25"/>
      </w:r>
      <w:r w:rsidR="00452539">
        <w:rPr>
          <w:rFonts w:ascii="Arial" w:hAnsi="Arial" w:cs="Arial"/>
          <w:sz w:val="24"/>
          <w:szCs w:val="24"/>
        </w:rPr>
        <w:t xml:space="preserve"> of the Constitution vests in the judiciary the authority</w:t>
      </w:r>
      <w:r w:rsidR="0033330C">
        <w:rPr>
          <w:rFonts w:ascii="Arial" w:hAnsi="Arial" w:cs="Arial"/>
          <w:sz w:val="24"/>
          <w:szCs w:val="24"/>
        </w:rPr>
        <w:t xml:space="preserve"> and power</w:t>
      </w:r>
      <w:r w:rsidR="00452539">
        <w:rPr>
          <w:rFonts w:ascii="Arial" w:hAnsi="Arial" w:cs="Arial"/>
          <w:sz w:val="24"/>
          <w:szCs w:val="24"/>
        </w:rPr>
        <w:t xml:space="preserve"> to prevent </w:t>
      </w:r>
      <w:r w:rsidR="001365AA">
        <w:rPr>
          <w:rFonts w:ascii="Arial" w:hAnsi="Arial" w:cs="Arial"/>
          <w:sz w:val="24"/>
          <w:szCs w:val="24"/>
        </w:rPr>
        <w:t>any possible abuse of process.</w:t>
      </w:r>
      <w:r w:rsidR="00983423" w:rsidRPr="001365AA">
        <w:rPr>
          <w:rStyle w:val="FootnoteReference"/>
          <w:rFonts w:ascii="Arial" w:hAnsi="Arial" w:cs="Arial"/>
          <w:sz w:val="24"/>
          <w:szCs w:val="24"/>
        </w:rPr>
        <w:footnoteReference w:id="26"/>
      </w:r>
      <w:r w:rsidR="001365AA">
        <w:rPr>
          <w:rFonts w:ascii="Arial" w:hAnsi="Arial" w:cs="Arial"/>
          <w:sz w:val="24"/>
          <w:szCs w:val="24"/>
        </w:rPr>
        <w:t xml:space="preserve"> </w:t>
      </w:r>
      <w:r w:rsidR="00697053">
        <w:rPr>
          <w:rFonts w:ascii="Arial" w:hAnsi="Arial" w:cs="Arial"/>
          <w:sz w:val="24"/>
          <w:szCs w:val="24"/>
        </w:rPr>
        <w:t xml:space="preserve">In </w:t>
      </w:r>
      <w:r w:rsidR="00697053" w:rsidRPr="005009FB">
        <w:rPr>
          <w:rFonts w:ascii="Arial" w:hAnsi="Arial" w:cs="Arial"/>
          <w:b/>
          <w:sz w:val="24"/>
          <w:szCs w:val="24"/>
        </w:rPr>
        <w:t>P</w:t>
      </w:r>
      <w:r w:rsidR="00697053">
        <w:rPr>
          <w:rFonts w:ascii="Arial" w:hAnsi="Arial" w:cs="Arial"/>
          <w:b/>
          <w:sz w:val="24"/>
          <w:szCs w:val="24"/>
        </w:rPr>
        <w:t>hillips and O</w:t>
      </w:r>
      <w:r w:rsidR="00697053" w:rsidRPr="005009FB">
        <w:rPr>
          <w:rFonts w:ascii="Arial" w:hAnsi="Arial" w:cs="Arial"/>
          <w:b/>
          <w:sz w:val="24"/>
          <w:szCs w:val="24"/>
        </w:rPr>
        <w:t>thers v National Director of Public Prosecutions</w:t>
      </w:r>
      <w:r w:rsidR="00983423" w:rsidRPr="001365AA">
        <w:rPr>
          <w:rStyle w:val="FootnoteReference"/>
          <w:rFonts w:ascii="Arial" w:hAnsi="Arial" w:cs="Arial"/>
          <w:sz w:val="24"/>
          <w:szCs w:val="24"/>
        </w:rPr>
        <w:footnoteReference w:id="27"/>
      </w:r>
      <w:r w:rsidR="00697053" w:rsidRPr="001365AA">
        <w:rPr>
          <w:rFonts w:ascii="Arial" w:hAnsi="Arial" w:cs="Arial"/>
          <w:i/>
          <w:sz w:val="24"/>
          <w:szCs w:val="24"/>
        </w:rPr>
        <w:t>,</w:t>
      </w:r>
      <w:r w:rsidR="00697053">
        <w:rPr>
          <w:rFonts w:ascii="Arial" w:hAnsi="Arial" w:cs="Arial"/>
          <w:i/>
          <w:sz w:val="24"/>
          <w:szCs w:val="24"/>
        </w:rPr>
        <w:t xml:space="preserve"> </w:t>
      </w:r>
      <w:r w:rsidR="00697053">
        <w:rPr>
          <w:rFonts w:ascii="Arial" w:hAnsi="Arial" w:cs="Arial"/>
          <w:sz w:val="24"/>
          <w:szCs w:val="24"/>
        </w:rPr>
        <w:t xml:space="preserve">the </w:t>
      </w:r>
      <w:r w:rsidR="002B425B">
        <w:rPr>
          <w:rFonts w:ascii="Arial" w:hAnsi="Arial" w:cs="Arial"/>
          <w:sz w:val="24"/>
          <w:szCs w:val="24"/>
        </w:rPr>
        <w:t xml:space="preserve">Constitutional Court held that </w:t>
      </w:r>
      <w:r w:rsidR="00697053" w:rsidRPr="002B425B">
        <w:rPr>
          <w:rFonts w:ascii="Arial" w:hAnsi="Arial" w:cs="Arial"/>
          <w:sz w:val="24"/>
          <w:szCs w:val="24"/>
        </w:rPr>
        <w:t>ordinarily the power in section 173 to protect and regulate relates to the process of court and arises when there is a legislative lacuna in the process</w:t>
      </w:r>
      <w:r w:rsidR="002B425B">
        <w:rPr>
          <w:rFonts w:ascii="Arial" w:hAnsi="Arial" w:cs="Arial"/>
          <w:sz w:val="24"/>
          <w:szCs w:val="24"/>
        </w:rPr>
        <w:t>.</w:t>
      </w:r>
    </w:p>
    <w:p w14:paraId="52DA0F35" w14:textId="77777777" w:rsidR="0093770E" w:rsidRDefault="0093770E" w:rsidP="0093770E">
      <w:pPr>
        <w:spacing w:after="0" w:line="240" w:lineRule="auto"/>
        <w:jc w:val="both"/>
        <w:rPr>
          <w:rFonts w:ascii="Arial" w:hAnsi="Arial" w:cs="Arial"/>
          <w:i/>
          <w:sz w:val="24"/>
          <w:szCs w:val="24"/>
        </w:rPr>
      </w:pPr>
    </w:p>
    <w:p w14:paraId="1286399A" w14:textId="77777777" w:rsidR="00875846" w:rsidRDefault="007B2594" w:rsidP="00697053">
      <w:pPr>
        <w:spacing w:line="480" w:lineRule="auto"/>
        <w:jc w:val="both"/>
        <w:rPr>
          <w:rFonts w:ascii="Arial" w:hAnsi="Arial" w:cs="Arial"/>
          <w:sz w:val="24"/>
          <w:szCs w:val="24"/>
        </w:rPr>
      </w:pPr>
      <w:r>
        <w:rPr>
          <w:rFonts w:ascii="Arial" w:hAnsi="Arial" w:cs="Arial"/>
          <w:sz w:val="24"/>
          <w:szCs w:val="24"/>
        </w:rPr>
        <w:t>[30</w:t>
      </w:r>
      <w:r w:rsidR="00697053">
        <w:rPr>
          <w:rFonts w:ascii="Arial" w:hAnsi="Arial" w:cs="Arial"/>
          <w:sz w:val="24"/>
          <w:szCs w:val="24"/>
        </w:rPr>
        <w:t>]</w:t>
      </w:r>
      <w:r w:rsidR="00697053">
        <w:rPr>
          <w:rFonts w:ascii="Arial" w:hAnsi="Arial" w:cs="Arial"/>
          <w:sz w:val="24"/>
          <w:szCs w:val="24"/>
        </w:rPr>
        <w:tab/>
        <w:t xml:space="preserve">In </w:t>
      </w:r>
      <w:proofErr w:type="spellStart"/>
      <w:r w:rsidR="00697053" w:rsidRPr="003F3119">
        <w:rPr>
          <w:rFonts w:ascii="Arial" w:hAnsi="Arial" w:cs="Arial"/>
          <w:b/>
          <w:sz w:val="24"/>
          <w:szCs w:val="24"/>
        </w:rPr>
        <w:t>Beinash</w:t>
      </w:r>
      <w:proofErr w:type="spellEnd"/>
      <w:r w:rsidR="00697053" w:rsidRPr="003F3119">
        <w:rPr>
          <w:rFonts w:ascii="Arial" w:hAnsi="Arial" w:cs="Arial"/>
          <w:b/>
          <w:sz w:val="24"/>
          <w:szCs w:val="24"/>
        </w:rPr>
        <w:t xml:space="preserve"> v </w:t>
      </w:r>
      <w:proofErr w:type="spellStart"/>
      <w:r w:rsidR="00697053" w:rsidRPr="003F3119">
        <w:rPr>
          <w:rFonts w:ascii="Arial" w:hAnsi="Arial" w:cs="Arial"/>
          <w:b/>
          <w:sz w:val="24"/>
          <w:szCs w:val="24"/>
        </w:rPr>
        <w:t>Wixley</w:t>
      </w:r>
      <w:proofErr w:type="spellEnd"/>
      <w:r w:rsidR="00983423" w:rsidRPr="00DC3050">
        <w:rPr>
          <w:rStyle w:val="FootnoteReference"/>
          <w:rFonts w:ascii="Arial" w:hAnsi="Arial" w:cs="Arial"/>
          <w:sz w:val="24"/>
          <w:szCs w:val="24"/>
        </w:rPr>
        <w:footnoteReference w:id="28"/>
      </w:r>
      <w:r w:rsidR="00697053">
        <w:rPr>
          <w:rFonts w:ascii="Arial" w:hAnsi="Arial" w:cs="Arial"/>
          <w:i/>
          <w:sz w:val="24"/>
          <w:szCs w:val="24"/>
        </w:rPr>
        <w:t xml:space="preserve"> </w:t>
      </w:r>
      <w:r w:rsidR="00697053">
        <w:rPr>
          <w:rFonts w:ascii="Arial" w:hAnsi="Arial" w:cs="Arial"/>
          <w:sz w:val="24"/>
          <w:szCs w:val="24"/>
        </w:rPr>
        <w:t>Mohamed, CJ stated that there could not be an all-encompassing definition of the concept of “</w:t>
      </w:r>
      <w:r w:rsidR="00697053">
        <w:rPr>
          <w:rFonts w:ascii="Arial" w:hAnsi="Arial" w:cs="Arial"/>
          <w:i/>
          <w:sz w:val="24"/>
          <w:szCs w:val="24"/>
        </w:rPr>
        <w:t>abuse of process”,</w:t>
      </w:r>
      <w:r w:rsidR="00697053">
        <w:rPr>
          <w:rFonts w:ascii="Arial" w:hAnsi="Arial" w:cs="Arial"/>
          <w:sz w:val="24"/>
          <w:szCs w:val="24"/>
        </w:rPr>
        <w:t xml:space="preserve"> but it could be said in general terms that an abuse of process takes place </w:t>
      </w:r>
      <w:r w:rsidR="00697053" w:rsidRPr="00452539">
        <w:rPr>
          <w:rFonts w:ascii="Arial" w:hAnsi="Arial" w:cs="Arial"/>
          <w:i/>
          <w:sz w:val="24"/>
          <w:szCs w:val="24"/>
        </w:rPr>
        <w:t>“where procedures permitted by the Rules of Court to facilitate the pursuit of the truth are used for a purpose extraneous to the objective”.</w:t>
      </w:r>
      <w:r w:rsidR="00697053">
        <w:rPr>
          <w:rFonts w:ascii="Arial" w:hAnsi="Arial" w:cs="Arial"/>
          <w:i/>
          <w:sz w:val="24"/>
          <w:szCs w:val="24"/>
        </w:rPr>
        <w:t xml:space="preserve">  </w:t>
      </w:r>
      <w:r w:rsidR="00697053">
        <w:rPr>
          <w:rFonts w:ascii="Arial" w:hAnsi="Arial" w:cs="Arial"/>
          <w:sz w:val="24"/>
          <w:szCs w:val="24"/>
        </w:rPr>
        <w:t>What constitutes an abuse of process of the court is a matter which needs to be determined by the specific circumstances of each case.  The abuse of process is therefore fact specific.</w:t>
      </w:r>
      <w:r w:rsidR="00E81C8D">
        <w:rPr>
          <w:rFonts w:ascii="Arial" w:hAnsi="Arial" w:cs="Arial"/>
          <w:sz w:val="24"/>
          <w:szCs w:val="24"/>
        </w:rPr>
        <w:t xml:space="preserve">  </w:t>
      </w:r>
    </w:p>
    <w:p w14:paraId="425C7826" w14:textId="77777777" w:rsidR="00875846" w:rsidRDefault="00875846" w:rsidP="004F358C">
      <w:pPr>
        <w:spacing w:after="0" w:line="240" w:lineRule="auto"/>
        <w:jc w:val="both"/>
        <w:rPr>
          <w:rFonts w:ascii="Arial" w:hAnsi="Arial" w:cs="Arial"/>
          <w:sz w:val="24"/>
          <w:szCs w:val="24"/>
        </w:rPr>
      </w:pPr>
    </w:p>
    <w:p w14:paraId="707A3446" w14:textId="77777777" w:rsidR="00697053" w:rsidRDefault="007B2594" w:rsidP="00697053">
      <w:pPr>
        <w:spacing w:line="480" w:lineRule="auto"/>
        <w:jc w:val="both"/>
        <w:rPr>
          <w:rFonts w:ascii="Arial" w:hAnsi="Arial" w:cs="Arial"/>
          <w:sz w:val="24"/>
          <w:szCs w:val="24"/>
        </w:rPr>
      </w:pPr>
      <w:r>
        <w:rPr>
          <w:rFonts w:ascii="Arial" w:hAnsi="Arial" w:cs="Arial"/>
          <w:sz w:val="24"/>
          <w:szCs w:val="24"/>
        </w:rPr>
        <w:t>[31</w:t>
      </w:r>
      <w:r w:rsidR="00875846">
        <w:rPr>
          <w:rFonts w:ascii="Arial" w:hAnsi="Arial" w:cs="Arial"/>
          <w:sz w:val="24"/>
          <w:szCs w:val="24"/>
        </w:rPr>
        <w:t>]</w:t>
      </w:r>
      <w:r w:rsidR="00875846">
        <w:rPr>
          <w:rFonts w:ascii="Arial" w:hAnsi="Arial" w:cs="Arial"/>
          <w:sz w:val="24"/>
          <w:szCs w:val="24"/>
        </w:rPr>
        <w:tab/>
      </w:r>
      <w:r w:rsidR="00E81C8D">
        <w:rPr>
          <w:rFonts w:ascii="Arial" w:hAnsi="Arial" w:cs="Arial"/>
          <w:sz w:val="24"/>
          <w:szCs w:val="24"/>
        </w:rPr>
        <w:t xml:space="preserve">In </w:t>
      </w:r>
      <w:r w:rsidR="00E81C8D" w:rsidRPr="006654F6">
        <w:rPr>
          <w:rFonts w:ascii="Arial" w:hAnsi="Arial" w:cs="Arial"/>
          <w:b/>
          <w:sz w:val="24"/>
          <w:szCs w:val="24"/>
        </w:rPr>
        <w:t>Cohen v Cohen and Another</w:t>
      </w:r>
      <w:r w:rsidR="00983423">
        <w:rPr>
          <w:rStyle w:val="FootnoteReference"/>
          <w:rFonts w:ascii="Arial" w:hAnsi="Arial" w:cs="Arial"/>
          <w:b/>
          <w:sz w:val="24"/>
          <w:szCs w:val="24"/>
        </w:rPr>
        <w:footnoteReference w:id="29"/>
      </w:r>
      <w:r w:rsidR="00E81C8D">
        <w:rPr>
          <w:rFonts w:ascii="Arial" w:hAnsi="Arial" w:cs="Arial"/>
          <w:i/>
          <w:sz w:val="24"/>
          <w:szCs w:val="24"/>
        </w:rPr>
        <w:t xml:space="preserve"> </w:t>
      </w:r>
      <w:r w:rsidR="00E81C8D">
        <w:rPr>
          <w:rFonts w:ascii="Arial" w:hAnsi="Arial" w:cs="Arial"/>
          <w:sz w:val="24"/>
          <w:szCs w:val="24"/>
        </w:rPr>
        <w:t xml:space="preserve">the court, with reference to </w:t>
      </w:r>
      <w:proofErr w:type="spellStart"/>
      <w:r w:rsidR="00E81C8D" w:rsidRPr="000E46F5">
        <w:rPr>
          <w:rFonts w:ascii="Arial" w:hAnsi="Arial" w:cs="Arial"/>
          <w:b/>
          <w:sz w:val="24"/>
          <w:szCs w:val="24"/>
        </w:rPr>
        <w:t>Beinash</w:t>
      </w:r>
      <w:proofErr w:type="spellEnd"/>
      <w:r w:rsidR="00E81C8D" w:rsidRPr="000E46F5">
        <w:rPr>
          <w:rFonts w:ascii="Arial" w:hAnsi="Arial" w:cs="Arial"/>
          <w:b/>
          <w:sz w:val="24"/>
          <w:szCs w:val="24"/>
        </w:rPr>
        <w:t xml:space="preserve"> v </w:t>
      </w:r>
      <w:proofErr w:type="spellStart"/>
      <w:r w:rsidR="00E81C8D" w:rsidRPr="000E46F5">
        <w:rPr>
          <w:rFonts w:ascii="Arial" w:hAnsi="Arial" w:cs="Arial"/>
          <w:b/>
          <w:sz w:val="24"/>
          <w:szCs w:val="24"/>
        </w:rPr>
        <w:t>Wixley</w:t>
      </w:r>
      <w:proofErr w:type="spellEnd"/>
      <w:r w:rsidR="00E81C8D">
        <w:rPr>
          <w:rFonts w:ascii="Arial" w:hAnsi="Arial" w:cs="Arial"/>
          <w:i/>
          <w:sz w:val="24"/>
          <w:szCs w:val="24"/>
        </w:rPr>
        <w:t xml:space="preserve"> </w:t>
      </w:r>
      <w:r w:rsidR="004B1ACE">
        <w:rPr>
          <w:rFonts w:ascii="Arial" w:hAnsi="Arial" w:cs="Arial"/>
          <w:sz w:val="24"/>
          <w:szCs w:val="24"/>
        </w:rPr>
        <w:t xml:space="preserve">stated that at </w:t>
      </w:r>
      <w:r w:rsidR="00E81C8D">
        <w:rPr>
          <w:rFonts w:ascii="Arial" w:hAnsi="Arial" w:cs="Arial"/>
          <w:sz w:val="24"/>
          <w:szCs w:val="24"/>
        </w:rPr>
        <w:t xml:space="preserve">common law the courts enjoyed an inherent power to strike out claims that were vexatious, </w:t>
      </w:r>
      <w:r w:rsidR="0033330C">
        <w:rPr>
          <w:rFonts w:ascii="Arial" w:hAnsi="Arial" w:cs="Arial"/>
          <w:sz w:val="24"/>
          <w:szCs w:val="24"/>
        </w:rPr>
        <w:t xml:space="preserve">opining </w:t>
      </w:r>
      <w:r w:rsidR="00E81C8D">
        <w:rPr>
          <w:rFonts w:ascii="Arial" w:hAnsi="Arial" w:cs="Arial"/>
          <w:sz w:val="24"/>
          <w:szCs w:val="24"/>
        </w:rPr>
        <w:t>that meant claims that were “</w:t>
      </w:r>
      <w:r w:rsidR="00E81C8D" w:rsidRPr="00452539">
        <w:rPr>
          <w:rFonts w:ascii="Arial" w:hAnsi="Arial" w:cs="Arial"/>
          <w:i/>
          <w:sz w:val="24"/>
          <w:szCs w:val="24"/>
        </w:rPr>
        <w:t xml:space="preserve">frivolous, improper, instituted without sufficient ground, to serve solely, as an annoyance to the </w:t>
      </w:r>
      <w:r w:rsidR="00BD4731">
        <w:rPr>
          <w:rFonts w:ascii="Arial" w:hAnsi="Arial" w:cs="Arial"/>
          <w:i/>
          <w:sz w:val="24"/>
          <w:szCs w:val="24"/>
        </w:rPr>
        <w:t>defendant</w:t>
      </w:r>
      <w:r w:rsidR="00E81C8D" w:rsidRPr="00452539">
        <w:rPr>
          <w:rFonts w:ascii="Arial" w:hAnsi="Arial" w:cs="Arial"/>
          <w:i/>
          <w:sz w:val="24"/>
          <w:szCs w:val="24"/>
        </w:rPr>
        <w:t>.”</w:t>
      </w:r>
      <w:r w:rsidR="00E81C8D">
        <w:rPr>
          <w:rFonts w:ascii="Arial" w:hAnsi="Arial" w:cs="Arial"/>
          <w:sz w:val="24"/>
          <w:szCs w:val="24"/>
        </w:rPr>
        <w:t xml:space="preserve">  Vexatious litigation must be clear, appear as a certainty and not merely on a preponderance of probability.</w:t>
      </w:r>
    </w:p>
    <w:p w14:paraId="1B3465E8" w14:textId="77777777" w:rsidR="00452539" w:rsidRDefault="00452539" w:rsidP="004A525D">
      <w:pPr>
        <w:spacing w:after="0" w:line="240" w:lineRule="auto"/>
        <w:jc w:val="both"/>
        <w:rPr>
          <w:rFonts w:ascii="Arial" w:hAnsi="Arial" w:cs="Arial"/>
          <w:sz w:val="24"/>
          <w:szCs w:val="24"/>
        </w:rPr>
      </w:pPr>
    </w:p>
    <w:p w14:paraId="44362E27" w14:textId="77777777" w:rsidR="00852CEF" w:rsidRDefault="00452539" w:rsidP="0006276E">
      <w:pPr>
        <w:spacing w:line="480" w:lineRule="auto"/>
        <w:jc w:val="both"/>
        <w:rPr>
          <w:rFonts w:ascii="Arial" w:hAnsi="Arial" w:cs="Arial"/>
          <w:sz w:val="24"/>
          <w:szCs w:val="24"/>
        </w:rPr>
      </w:pPr>
      <w:r>
        <w:rPr>
          <w:rFonts w:ascii="Arial" w:hAnsi="Arial" w:cs="Arial"/>
          <w:sz w:val="24"/>
          <w:szCs w:val="24"/>
        </w:rPr>
        <w:lastRenderedPageBreak/>
        <w:t>[</w:t>
      </w:r>
      <w:r w:rsidR="007B2594">
        <w:rPr>
          <w:rFonts w:ascii="Arial" w:hAnsi="Arial" w:cs="Arial"/>
          <w:sz w:val="24"/>
          <w:szCs w:val="24"/>
        </w:rPr>
        <w:t>32</w:t>
      </w:r>
      <w:r>
        <w:rPr>
          <w:rFonts w:ascii="Arial" w:hAnsi="Arial" w:cs="Arial"/>
          <w:sz w:val="24"/>
          <w:szCs w:val="24"/>
        </w:rPr>
        <w:t>]</w:t>
      </w:r>
      <w:r>
        <w:rPr>
          <w:rFonts w:ascii="Arial" w:hAnsi="Arial" w:cs="Arial"/>
          <w:sz w:val="24"/>
          <w:szCs w:val="24"/>
        </w:rPr>
        <w:tab/>
      </w:r>
      <w:r w:rsidR="00F607C1" w:rsidRPr="00F84D13">
        <w:rPr>
          <w:rFonts w:ascii="Arial" w:hAnsi="Arial" w:cs="Arial"/>
          <w:sz w:val="24"/>
          <w:szCs w:val="24"/>
        </w:rPr>
        <w:t>Our courts</w:t>
      </w:r>
      <w:r w:rsidR="00F607C1">
        <w:rPr>
          <w:rFonts w:ascii="Arial" w:hAnsi="Arial" w:cs="Arial"/>
          <w:sz w:val="24"/>
          <w:szCs w:val="24"/>
        </w:rPr>
        <w:t xml:space="preserve"> have repeatedly </w:t>
      </w:r>
      <w:r w:rsidR="00824B12">
        <w:rPr>
          <w:rFonts w:ascii="Arial" w:hAnsi="Arial" w:cs="Arial"/>
          <w:sz w:val="24"/>
          <w:szCs w:val="24"/>
        </w:rPr>
        <w:t>referred to the purpose or motive of the litigation as being relevant to the question of abuse of process.</w:t>
      </w:r>
      <w:r w:rsidR="003F7388">
        <w:rPr>
          <w:rFonts w:ascii="Arial" w:hAnsi="Arial" w:cs="Arial"/>
          <w:sz w:val="24"/>
          <w:szCs w:val="24"/>
        </w:rPr>
        <w:t xml:space="preserve">  I</w:t>
      </w:r>
      <w:r w:rsidR="00B14822">
        <w:rPr>
          <w:rFonts w:ascii="Arial" w:hAnsi="Arial" w:cs="Arial"/>
          <w:sz w:val="24"/>
          <w:szCs w:val="24"/>
        </w:rPr>
        <w:t xml:space="preserve">n </w:t>
      </w:r>
      <w:r w:rsidR="00B14822" w:rsidRPr="003F7388">
        <w:rPr>
          <w:rFonts w:ascii="Arial" w:hAnsi="Arial" w:cs="Arial"/>
          <w:b/>
          <w:sz w:val="24"/>
          <w:szCs w:val="24"/>
        </w:rPr>
        <w:t>Phillips v Botha</w:t>
      </w:r>
      <w:r w:rsidR="001365AA">
        <w:rPr>
          <w:rStyle w:val="FootnoteReference"/>
          <w:rFonts w:ascii="Arial" w:hAnsi="Arial" w:cs="Arial"/>
          <w:i/>
        </w:rPr>
        <w:footnoteReference w:id="30"/>
      </w:r>
      <w:r w:rsidR="00F724EB">
        <w:rPr>
          <w:rFonts w:ascii="Arial" w:hAnsi="Arial" w:cs="Arial"/>
          <w:sz w:val="24"/>
          <w:szCs w:val="24"/>
        </w:rPr>
        <w:t>, the court</w:t>
      </w:r>
      <w:r w:rsidR="00B14822">
        <w:rPr>
          <w:rFonts w:ascii="Arial" w:hAnsi="Arial" w:cs="Arial"/>
          <w:sz w:val="24"/>
          <w:szCs w:val="24"/>
        </w:rPr>
        <w:t xml:space="preserve"> endorsed the following definition of abuse of proc</w:t>
      </w:r>
      <w:r w:rsidR="004B1ACE">
        <w:rPr>
          <w:rFonts w:ascii="Arial" w:hAnsi="Arial" w:cs="Arial"/>
          <w:sz w:val="24"/>
          <w:szCs w:val="24"/>
        </w:rPr>
        <w:t xml:space="preserve">ess from an Australian decision. </w:t>
      </w:r>
      <w:r w:rsidR="002D4E70">
        <w:rPr>
          <w:rFonts w:ascii="Arial" w:hAnsi="Arial" w:cs="Arial"/>
          <w:sz w:val="24"/>
          <w:szCs w:val="24"/>
        </w:rPr>
        <w:t xml:space="preserve">The court cited with approval the matter of </w:t>
      </w:r>
      <w:proofErr w:type="spellStart"/>
      <w:r w:rsidR="002D4E70" w:rsidRPr="00852CEF">
        <w:rPr>
          <w:rFonts w:ascii="Arial" w:hAnsi="Arial" w:cs="Arial"/>
          <w:i/>
          <w:sz w:val="24"/>
          <w:szCs w:val="24"/>
        </w:rPr>
        <w:t>Varawa</w:t>
      </w:r>
      <w:proofErr w:type="spellEnd"/>
      <w:r w:rsidR="002D4E70" w:rsidRPr="00852CEF">
        <w:rPr>
          <w:rFonts w:ascii="Arial" w:hAnsi="Arial" w:cs="Arial"/>
          <w:i/>
          <w:sz w:val="24"/>
          <w:szCs w:val="24"/>
        </w:rPr>
        <w:t xml:space="preserve"> v Howard Smith Co Ltd</w:t>
      </w:r>
      <w:r w:rsidR="002D4E70">
        <w:rPr>
          <w:rFonts w:ascii="Arial" w:hAnsi="Arial" w:cs="Arial"/>
          <w:sz w:val="24"/>
          <w:szCs w:val="24"/>
        </w:rPr>
        <w:t xml:space="preserve"> </w:t>
      </w:r>
      <w:r w:rsidR="00852CEF">
        <w:rPr>
          <w:rFonts w:ascii="Arial" w:hAnsi="Arial" w:cs="Arial"/>
          <w:sz w:val="24"/>
          <w:szCs w:val="24"/>
        </w:rPr>
        <w:t>(1911) 13 CLR 35 at 91:</w:t>
      </w:r>
    </w:p>
    <w:p w14:paraId="6D9562D6" w14:textId="77777777" w:rsidR="000F63F3" w:rsidRPr="00852CEF" w:rsidRDefault="000F63F3" w:rsidP="0006276E">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755582">
        <w:rPr>
          <w:rFonts w:ascii="Arial" w:hAnsi="Arial" w:cs="Arial"/>
          <w:i/>
        </w:rPr>
        <w:t>“…(T)</w:t>
      </w:r>
      <w:r w:rsidRPr="0041716A">
        <w:rPr>
          <w:rFonts w:ascii="Arial" w:hAnsi="Arial" w:cs="Arial"/>
          <w:i/>
        </w:rPr>
        <w:t xml:space="preserve">he term ‘abuse of process’ connotes that the process is employed </w:t>
      </w:r>
      <w:r w:rsidRPr="0020783C">
        <w:rPr>
          <w:rFonts w:ascii="Arial" w:hAnsi="Arial" w:cs="Arial"/>
          <w:i/>
          <w:u w:val="single"/>
        </w:rPr>
        <w:t>for</w:t>
      </w:r>
      <w:r w:rsidRPr="0020783C">
        <w:rPr>
          <w:rFonts w:ascii="Arial" w:hAnsi="Arial" w:cs="Arial"/>
          <w:i/>
        </w:rPr>
        <w:t xml:space="preserve"> </w:t>
      </w:r>
      <w:r w:rsidR="0041716A" w:rsidRPr="0020783C">
        <w:rPr>
          <w:rFonts w:ascii="Arial" w:hAnsi="Arial" w:cs="Arial"/>
          <w:i/>
        </w:rPr>
        <w:tab/>
      </w:r>
      <w:r w:rsidR="0041716A" w:rsidRPr="0020783C">
        <w:rPr>
          <w:rFonts w:ascii="Arial" w:hAnsi="Arial" w:cs="Arial"/>
          <w:i/>
        </w:rPr>
        <w:tab/>
      </w:r>
      <w:r w:rsidRPr="00755582">
        <w:rPr>
          <w:rFonts w:ascii="Arial" w:hAnsi="Arial" w:cs="Arial"/>
          <w:i/>
        </w:rPr>
        <w:t>some purpose other than the attainment of the c</w:t>
      </w:r>
      <w:r w:rsidR="0020783C" w:rsidRPr="00755582">
        <w:rPr>
          <w:rFonts w:ascii="Arial" w:hAnsi="Arial" w:cs="Arial"/>
          <w:i/>
        </w:rPr>
        <w:t>l</w:t>
      </w:r>
      <w:r w:rsidRPr="00755582">
        <w:rPr>
          <w:rFonts w:ascii="Arial" w:hAnsi="Arial" w:cs="Arial"/>
          <w:i/>
        </w:rPr>
        <w:t>aim in action.</w:t>
      </w:r>
      <w:r w:rsidRPr="0041716A">
        <w:rPr>
          <w:rFonts w:ascii="Arial" w:hAnsi="Arial" w:cs="Arial"/>
          <w:i/>
        </w:rPr>
        <w:t xml:space="preserve">  If the </w:t>
      </w:r>
      <w:r w:rsidR="0041716A" w:rsidRPr="0041716A">
        <w:rPr>
          <w:rFonts w:ascii="Arial" w:hAnsi="Arial" w:cs="Arial"/>
          <w:i/>
        </w:rPr>
        <w:tab/>
      </w:r>
      <w:r w:rsidR="0041716A" w:rsidRPr="0041716A">
        <w:rPr>
          <w:rFonts w:ascii="Arial" w:hAnsi="Arial" w:cs="Arial"/>
          <w:i/>
        </w:rPr>
        <w:tab/>
      </w:r>
      <w:r w:rsidR="0020783C">
        <w:rPr>
          <w:rFonts w:ascii="Arial" w:hAnsi="Arial" w:cs="Arial"/>
          <w:i/>
        </w:rPr>
        <w:tab/>
      </w:r>
      <w:r w:rsidRPr="0041716A">
        <w:rPr>
          <w:rFonts w:ascii="Arial" w:hAnsi="Arial" w:cs="Arial"/>
          <w:i/>
        </w:rPr>
        <w:t xml:space="preserve">proceedings are merely a stalking-horse to coerce the </w:t>
      </w:r>
      <w:r w:rsidR="00BD4731">
        <w:rPr>
          <w:rFonts w:ascii="Arial" w:hAnsi="Arial" w:cs="Arial"/>
          <w:i/>
        </w:rPr>
        <w:t>defendant</w:t>
      </w:r>
      <w:r w:rsidRPr="0041716A">
        <w:rPr>
          <w:rFonts w:ascii="Arial" w:hAnsi="Arial" w:cs="Arial"/>
          <w:i/>
        </w:rPr>
        <w:t xml:space="preserve"> in </w:t>
      </w:r>
      <w:r w:rsidR="0041716A" w:rsidRPr="0041716A">
        <w:rPr>
          <w:rFonts w:ascii="Arial" w:hAnsi="Arial" w:cs="Arial"/>
          <w:i/>
        </w:rPr>
        <w:tab/>
      </w:r>
      <w:r w:rsidR="0041716A" w:rsidRPr="0041716A">
        <w:rPr>
          <w:rFonts w:ascii="Arial" w:hAnsi="Arial" w:cs="Arial"/>
          <w:i/>
        </w:rPr>
        <w:tab/>
      </w:r>
      <w:r w:rsidR="0041716A" w:rsidRPr="0041716A">
        <w:rPr>
          <w:rFonts w:ascii="Arial" w:hAnsi="Arial" w:cs="Arial"/>
          <w:i/>
        </w:rPr>
        <w:tab/>
      </w:r>
      <w:r w:rsidRPr="0041716A">
        <w:rPr>
          <w:rFonts w:ascii="Arial" w:hAnsi="Arial" w:cs="Arial"/>
          <w:i/>
        </w:rPr>
        <w:t xml:space="preserve">some way entirely outside the </w:t>
      </w:r>
      <w:r w:rsidR="00485DE0">
        <w:rPr>
          <w:rFonts w:ascii="Arial" w:hAnsi="Arial" w:cs="Arial"/>
          <w:i/>
        </w:rPr>
        <w:t xml:space="preserve">ambit of </w:t>
      </w:r>
      <w:r w:rsidR="00755582">
        <w:rPr>
          <w:rFonts w:ascii="Arial" w:hAnsi="Arial" w:cs="Arial"/>
          <w:i/>
        </w:rPr>
        <w:t>the legal claim upon which the C</w:t>
      </w:r>
      <w:r w:rsidR="00485DE0">
        <w:rPr>
          <w:rFonts w:ascii="Arial" w:hAnsi="Arial" w:cs="Arial"/>
          <w:i/>
        </w:rPr>
        <w:t xml:space="preserve">ourt is </w:t>
      </w:r>
      <w:r w:rsidR="00485DE0">
        <w:rPr>
          <w:rFonts w:ascii="Arial" w:hAnsi="Arial" w:cs="Arial"/>
          <w:i/>
        </w:rPr>
        <w:tab/>
      </w:r>
      <w:r w:rsidR="00485DE0">
        <w:rPr>
          <w:rFonts w:ascii="Arial" w:hAnsi="Arial" w:cs="Arial"/>
          <w:i/>
        </w:rPr>
        <w:tab/>
        <w:t>asked to adjudicate they are regarded as an abuse for this purpose</w:t>
      </w:r>
      <w:r w:rsidR="00755582">
        <w:rPr>
          <w:rFonts w:ascii="Arial" w:hAnsi="Arial" w:cs="Arial"/>
          <w:i/>
        </w:rPr>
        <w:t>..</w:t>
      </w:r>
      <w:r w:rsidR="00485DE0">
        <w:rPr>
          <w:rFonts w:ascii="Arial" w:hAnsi="Arial" w:cs="Arial"/>
          <w:i/>
        </w:rPr>
        <w:t>.”</w:t>
      </w:r>
    </w:p>
    <w:p w14:paraId="16FD8F53" w14:textId="77777777" w:rsidR="00BD75C0" w:rsidRDefault="00BD75C0" w:rsidP="0006276E">
      <w:pPr>
        <w:spacing w:line="480" w:lineRule="auto"/>
        <w:jc w:val="both"/>
        <w:rPr>
          <w:rFonts w:ascii="Arial" w:hAnsi="Arial" w:cs="Arial"/>
          <w:sz w:val="24"/>
          <w:szCs w:val="24"/>
        </w:rPr>
      </w:pPr>
    </w:p>
    <w:p w14:paraId="18702611" w14:textId="77777777" w:rsidR="0083463B" w:rsidRDefault="0083463B" w:rsidP="0006276E">
      <w:pPr>
        <w:spacing w:line="480" w:lineRule="auto"/>
        <w:jc w:val="both"/>
        <w:rPr>
          <w:rFonts w:ascii="Arial" w:hAnsi="Arial" w:cs="Arial"/>
          <w:i/>
          <w:sz w:val="24"/>
          <w:szCs w:val="24"/>
        </w:rPr>
      </w:pPr>
      <w:r w:rsidRPr="0083463B">
        <w:rPr>
          <w:rFonts w:ascii="Arial" w:hAnsi="Arial" w:cs="Arial"/>
          <w:sz w:val="24"/>
          <w:szCs w:val="24"/>
        </w:rPr>
        <w:t>The SCA</w:t>
      </w:r>
      <w:r w:rsidR="0033330C">
        <w:rPr>
          <w:rFonts w:ascii="Arial" w:hAnsi="Arial" w:cs="Arial"/>
          <w:sz w:val="24"/>
          <w:szCs w:val="24"/>
        </w:rPr>
        <w:t xml:space="preserve"> proceeded</w:t>
      </w:r>
      <w:r>
        <w:rPr>
          <w:rFonts w:ascii="Arial" w:hAnsi="Arial" w:cs="Arial"/>
          <w:sz w:val="24"/>
          <w:szCs w:val="24"/>
        </w:rPr>
        <w:t xml:space="preserve"> to add that </w:t>
      </w:r>
      <w:r w:rsidRPr="00611B3F">
        <w:rPr>
          <w:rFonts w:ascii="Arial" w:hAnsi="Arial" w:cs="Arial"/>
          <w:i/>
          <w:sz w:val="24"/>
          <w:szCs w:val="24"/>
        </w:rPr>
        <w:t xml:space="preserve">“where the court finds an attempt made to use </w:t>
      </w:r>
      <w:r w:rsidRPr="006F48D0">
        <w:rPr>
          <w:rFonts w:ascii="Arial" w:hAnsi="Arial" w:cs="Arial"/>
          <w:i/>
          <w:sz w:val="24"/>
          <w:szCs w:val="24"/>
        </w:rPr>
        <w:t xml:space="preserve">for ulterior purposes </w:t>
      </w:r>
      <w:r w:rsidR="00611B3F" w:rsidRPr="00611B3F">
        <w:rPr>
          <w:rFonts w:ascii="Arial" w:hAnsi="Arial" w:cs="Arial"/>
          <w:i/>
          <w:sz w:val="24"/>
          <w:szCs w:val="24"/>
        </w:rPr>
        <w:t>machinery devised for the better admin</w:t>
      </w:r>
      <w:r w:rsidR="002D4E70">
        <w:rPr>
          <w:rFonts w:ascii="Arial" w:hAnsi="Arial" w:cs="Arial"/>
          <w:i/>
          <w:sz w:val="24"/>
          <w:szCs w:val="24"/>
        </w:rPr>
        <w:t>istration of justice it is the C</w:t>
      </w:r>
      <w:r w:rsidR="00611B3F" w:rsidRPr="00611B3F">
        <w:rPr>
          <w:rFonts w:ascii="Arial" w:hAnsi="Arial" w:cs="Arial"/>
          <w:i/>
          <w:sz w:val="24"/>
          <w:szCs w:val="24"/>
        </w:rPr>
        <w:t>ourt’s duty to prevent such abuse.”</w:t>
      </w:r>
      <w:r w:rsidR="007B679C">
        <w:rPr>
          <w:rFonts w:ascii="Arial" w:hAnsi="Arial" w:cs="Arial"/>
          <w:i/>
          <w:sz w:val="24"/>
          <w:szCs w:val="24"/>
        </w:rPr>
        <w:t xml:space="preserve">  </w:t>
      </w:r>
    </w:p>
    <w:p w14:paraId="21711585" w14:textId="77777777" w:rsidR="00085B15" w:rsidRPr="002D4E70" w:rsidRDefault="00085B15" w:rsidP="00843466">
      <w:pPr>
        <w:spacing w:line="240" w:lineRule="auto"/>
        <w:jc w:val="both"/>
        <w:rPr>
          <w:rFonts w:ascii="Arial" w:hAnsi="Arial" w:cs="Arial"/>
        </w:rPr>
      </w:pPr>
    </w:p>
    <w:p w14:paraId="0A5363C4" w14:textId="77777777" w:rsidR="003B2366" w:rsidRPr="00245642" w:rsidRDefault="007B2594" w:rsidP="003B2366">
      <w:pPr>
        <w:spacing w:line="480" w:lineRule="auto"/>
        <w:jc w:val="both"/>
        <w:rPr>
          <w:rFonts w:ascii="Arial" w:hAnsi="Arial" w:cs="Arial"/>
          <w:i/>
          <w:sz w:val="24"/>
          <w:szCs w:val="24"/>
        </w:rPr>
      </w:pPr>
      <w:r>
        <w:rPr>
          <w:rFonts w:ascii="Arial" w:hAnsi="Arial" w:cs="Arial"/>
          <w:sz w:val="24"/>
          <w:szCs w:val="24"/>
        </w:rPr>
        <w:t>[33</w:t>
      </w:r>
      <w:r w:rsidR="00D33461" w:rsidRPr="00D33461">
        <w:rPr>
          <w:rFonts w:ascii="Arial" w:hAnsi="Arial" w:cs="Arial"/>
          <w:sz w:val="24"/>
          <w:szCs w:val="24"/>
        </w:rPr>
        <w:t>]</w:t>
      </w:r>
      <w:r w:rsidR="00D33461" w:rsidRPr="00D33461">
        <w:rPr>
          <w:rFonts w:ascii="Arial" w:hAnsi="Arial" w:cs="Arial"/>
          <w:sz w:val="24"/>
          <w:szCs w:val="24"/>
        </w:rPr>
        <w:tab/>
        <w:t xml:space="preserve">In </w:t>
      </w:r>
      <w:r w:rsidR="00D33461" w:rsidRPr="00D33461">
        <w:rPr>
          <w:rFonts w:ascii="Arial" w:hAnsi="Arial" w:cs="Arial"/>
          <w:b/>
          <w:sz w:val="24"/>
          <w:szCs w:val="24"/>
        </w:rPr>
        <w:t>Gold Fields</w:t>
      </w:r>
      <w:r w:rsidR="00E123AB">
        <w:rPr>
          <w:rFonts w:ascii="Arial" w:hAnsi="Arial" w:cs="Arial"/>
          <w:b/>
          <w:sz w:val="24"/>
          <w:szCs w:val="24"/>
        </w:rPr>
        <w:t xml:space="preserve"> Ltd and Others</w:t>
      </w:r>
      <w:r w:rsidR="00D33461" w:rsidRPr="00D33461">
        <w:rPr>
          <w:rFonts w:ascii="Arial" w:hAnsi="Arial" w:cs="Arial"/>
          <w:b/>
          <w:sz w:val="24"/>
          <w:szCs w:val="24"/>
        </w:rPr>
        <w:t xml:space="preserve"> v Motley Rice</w:t>
      </w:r>
      <w:r w:rsidR="00983423" w:rsidRPr="006F48D0">
        <w:rPr>
          <w:rStyle w:val="FootnoteReference"/>
          <w:rFonts w:ascii="Arial" w:hAnsi="Arial" w:cs="Arial"/>
          <w:sz w:val="24"/>
          <w:szCs w:val="24"/>
        </w:rPr>
        <w:footnoteReference w:id="31"/>
      </w:r>
      <w:r w:rsidR="00D33461" w:rsidRPr="00D33461">
        <w:rPr>
          <w:rFonts w:ascii="Arial" w:hAnsi="Arial" w:cs="Arial"/>
          <w:sz w:val="24"/>
          <w:szCs w:val="24"/>
        </w:rPr>
        <w:t xml:space="preserve">, </w:t>
      </w:r>
      <w:proofErr w:type="spellStart"/>
      <w:r w:rsidR="00D33461" w:rsidRPr="00D33461">
        <w:rPr>
          <w:rFonts w:ascii="Arial" w:hAnsi="Arial" w:cs="Arial"/>
          <w:sz w:val="24"/>
          <w:szCs w:val="24"/>
        </w:rPr>
        <w:t>Mojapelo</w:t>
      </w:r>
      <w:proofErr w:type="spellEnd"/>
      <w:r w:rsidR="00D33461" w:rsidRPr="00D33461">
        <w:rPr>
          <w:rFonts w:ascii="Arial" w:hAnsi="Arial" w:cs="Arial"/>
          <w:sz w:val="24"/>
          <w:szCs w:val="24"/>
        </w:rPr>
        <w:t xml:space="preserve"> DJP held that a matter might amount to an abuse of process where </w:t>
      </w:r>
      <w:r w:rsidR="00D33461" w:rsidRPr="00D3037D">
        <w:rPr>
          <w:rFonts w:ascii="Arial" w:hAnsi="Arial" w:cs="Arial"/>
          <w:i/>
          <w:sz w:val="24"/>
          <w:szCs w:val="24"/>
        </w:rPr>
        <w:t>“the litigation is frivolous, or vexatious or where litigation is being pursued for an ulterior motive”.</w:t>
      </w:r>
      <w:r w:rsidR="00245642">
        <w:rPr>
          <w:rFonts w:ascii="Arial" w:hAnsi="Arial" w:cs="Arial"/>
          <w:i/>
          <w:sz w:val="24"/>
          <w:szCs w:val="24"/>
        </w:rPr>
        <w:t xml:space="preserve"> </w:t>
      </w:r>
      <w:r w:rsidR="003B2366">
        <w:rPr>
          <w:rFonts w:ascii="Arial" w:hAnsi="Arial" w:cs="Arial"/>
          <w:sz w:val="24"/>
          <w:szCs w:val="24"/>
        </w:rPr>
        <w:t xml:space="preserve">In </w:t>
      </w:r>
      <w:proofErr w:type="spellStart"/>
      <w:r w:rsidR="003B2366" w:rsidRPr="00843B5D">
        <w:rPr>
          <w:rFonts w:ascii="Arial" w:hAnsi="Arial" w:cs="Arial"/>
          <w:b/>
          <w:sz w:val="24"/>
          <w:szCs w:val="24"/>
        </w:rPr>
        <w:t>Roering</w:t>
      </w:r>
      <w:proofErr w:type="spellEnd"/>
      <w:r w:rsidR="003B2366" w:rsidRPr="00843B5D">
        <w:rPr>
          <w:rFonts w:ascii="Arial" w:hAnsi="Arial" w:cs="Arial"/>
          <w:b/>
          <w:sz w:val="24"/>
          <w:szCs w:val="24"/>
        </w:rPr>
        <w:t xml:space="preserve"> NO and Another v Mahlangu and Others</w:t>
      </w:r>
      <w:r w:rsidR="00E00264" w:rsidRPr="006F48D0">
        <w:rPr>
          <w:rStyle w:val="FootnoteReference"/>
          <w:rFonts w:ascii="Arial" w:hAnsi="Arial" w:cs="Arial"/>
          <w:sz w:val="24"/>
          <w:szCs w:val="24"/>
        </w:rPr>
        <w:footnoteReference w:id="32"/>
      </w:r>
      <w:r w:rsidR="003B2366">
        <w:rPr>
          <w:rFonts w:ascii="Arial" w:hAnsi="Arial" w:cs="Arial"/>
          <w:sz w:val="24"/>
          <w:szCs w:val="24"/>
        </w:rPr>
        <w:t>, the SCA endorsed another Australian decision that:</w:t>
      </w:r>
    </w:p>
    <w:p w14:paraId="3C26FE84" w14:textId="77777777" w:rsidR="003B2366" w:rsidRDefault="003B2366" w:rsidP="003B2366">
      <w:pPr>
        <w:spacing w:line="480" w:lineRule="auto"/>
        <w:jc w:val="both"/>
        <w:rPr>
          <w:rFonts w:ascii="Arial" w:hAnsi="Arial" w:cs="Arial"/>
          <w:i/>
        </w:rPr>
      </w:pPr>
      <w:r>
        <w:rPr>
          <w:rFonts w:ascii="Arial" w:hAnsi="Arial" w:cs="Arial"/>
          <w:sz w:val="24"/>
          <w:szCs w:val="24"/>
        </w:rPr>
        <w:tab/>
      </w:r>
      <w:r w:rsidRPr="006952B7">
        <w:rPr>
          <w:rFonts w:ascii="Arial" w:hAnsi="Arial" w:cs="Arial"/>
        </w:rPr>
        <w:tab/>
      </w:r>
      <w:r w:rsidRPr="0048563E">
        <w:rPr>
          <w:rFonts w:ascii="Arial" w:hAnsi="Arial" w:cs="Arial"/>
          <w:i/>
        </w:rPr>
        <w:t xml:space="preserve">“Whether there will be, in a particular case, a use of the process or an abuse </w:t>
      </w:r>
      <w:r w:rsidRPr="0048563E">
        <w:rPr>
          <w:rFonts w:ascii="Arial" w:hAnsi="Arial" w:cs="Arial"/>
          <w:i/>
        </w:rPr>
        <w:tab/>
      </w:r>
      <w:r w:rsidRPr="0048563E">
        <w:rPr>
          <w:rFonts w:ascii="Arial" w:hAnsi="Arial" w:cs="Arial"/>
          <w:i/>
        </w:rPr>
        <w:tab/>
        <w:t xml:space="preserve">of it </w:t>
      </w:r>
      <w:r w:rsidRPr="006F48D0">
        <w:rPr>
          <w:rFonts w:ascii="Arial" w:hAnsi="Arial" w:cs="Arial"/>
          <w:i/>
        </w:rPr>
        <w:t>will depend upon purpose rather than result</w:t>
      </w:r>
      <w:r w:rsidRPr="0048563E">
        <w:rPr>
          <w:rFonts w:ascii="Arial" w:hAnsi="Arial" w:cs="Arial"/>
          <w:i/>
        </w:rPr>
        <w:t>….”</w:t>
      </w:r>
    </w:p>
    <w:p w14:paraId="3EFEDD27" w14:textId="77777777" w:rsidR="00EF7D59" w:rsidRDefault="00EF7D59" w:rsidP="00C46E70">
      <w:pPr>
        <w:spacing w:after="0" w:line="240" w:lineRule="auto"/>
        <w:jc w:val="both"/>
        <w:rPr>
          <w:rFonts w:ascii="Arial" w:hAnsi="Arial" w:cs="Arial"/>
          <w:i/>
          <w:sz w:val="24"/>
          <w:szCs w:val="24"/>
        </w:rPr>
      </w:pPr>
    </w:p>
    <w:p w14:paraId="5276FAC8" w14:textId="77777777" w:rsidR="00A65AAD" w:rsidRDefault="00A65AAD" w:rsidP="0006276E">
      <w:pPr>
        <w:spacing w:line="480" w:lineRule="auto"/>
        <w:jc w:val="both"/>
        <w:rPr>
          <w:rFonts w:ascii="Arial" w:hAnsi="Arial" w:cs="Arial"/>
          <w:sz w:val="24"/>
          <w:szCs w:val="24"/>
        </w:rPr>
      </w:pPr>
      <w:r>
        <w:rPr>
          <w:rFonts w:ascii="Arial" w:hAnsi="Arial" w:cs="Arial"/>
          <w:sz w:val="24"/>
          <w:szCs w:val="24"/>
        </w:rPr>
        <w:lastRenderedPageBreak/>
        <w:t>[3</w:t>
      </w:r>
      <w:r w:rsidR="007B2594">
        <w:rPr>
          <w:rFonts w:ascii="Arial" w:hAnsi="Arial" w:cs="Arial"/>
          <w:sz w:val="24"/>
          <w:szCs w:val="24"/>
        </w:rPr>
        <w:t>4</w:t>
      </w:r>
      <w:r>
        <w:rPr>
          <w:rFonts w:ascii="Arial" w:hAnsi="Arial" w:cs="Arial"/>
          <w:sz w:val="24"/>
          <w:szCs w:val="24"/>
        </w:rPr>
        <w:t>]</w:t>
      </w:r>
      <w:r>
        <w:rPr>
          <w:rFonts w:ascii="Arial" w:hAnsi="Arial" w:cs="Arial"/>
          <w:sz w:val="24"/>
          <w:szCs w:val="24"/>
        </w:rPr>
        <w:tab/>
        <w:t xml:space="preserve">In </w:t>
      </w:r>
      <w:r w:rsidR="00CC6759" w:rsidRPr="00CC6759">
        <w:rPr>
          <w:rFonts w:ascii="Arial" w:hAnsi="Arial" w:cs="Arial"/>
          <w:b/>
          <w:sz w:val="24"/>
          <w:szCs w:val="24"/>
        </w:rPr>
        <w:t>Price Waterhouse Coopers Inc. and Others</w:t>
      </w:r>
      <w:r w:rsidR="00CC6759">
        <w:rPr>
          <w:rFonts w:ascii="Arial" w:hAnsi="Arial" w:cs="Arial"/>
          <w:sz w:val="24"/>
          <w:szCs w:val="24"/>
        </w:rPr>
        <w:t xml:space="preserve"> </w:t>
      </w:r>
      <w:r w:rsidRPr="00142725">
        <w:rPr>
          <w:rFonts w:ascii="Arial" w:hAnsi="Arial" w:cs="Arial"/>
          <w:b/>
          <w:sz w:val="24"/>
          <w:szCs w:val="24"/>
        </w:rPr>
        <w:t xml:space="preserve">v </w:t>
      </w:r>
      <w:r w:rsidR="00CC6759">
        <w:rPr>
          <w:rFonts w:ascii="Arial" w:hAnsi="Arial" w:cs="Arial"/>
          <w:b/>
          <w:sz w:val="24"/>
          <w:szCs w:val="24"/>
        </w:rPr>
        <w:t>National Potato Co-Operative Ltd</w:t>
      </w:r>
      <w:r w:rsidR="00E00264" w:rsidRPr="00DC3050">
        <w:rPr>
          <w:rStyle w:val="FootnoteReference"/>
          <w:rFonts w:ascii="Arial" w:hAnsi="Arial" w:cs="Arial"/>
          <w:sz w:val="24"/>
          <w:szCs w:val="24"/>
        </w:rPr>
        <w:footnoteReference w:id="33"/>
      </w:r>
      <w:r>
        <w:rPr>
          <w:rFonts w:ascii="Arial" w:hAnsi="Arial" w:cs="Arial"/>
          <w:i/>
          <w:sz w:val="24"/>
          <w:szCs w:val="24"/>
        </w:rPr>
        <w:t xml:space="preserve"> </w:t>
      </w:r>
      <w:r>
        <w:rPr>
          <w:rFonts w:ascii="Arial" w:hAnsi="Arial" w:cs="Arial"/>
          <w:sz w:val="24"/>
          <w:szCs w:val="24"/>
        </w:rPr>
        <w:t xml:space="preserve">the Supreme Court of </w:t>
      </w:r>
      <w:r w:rsidR="0054184C">
        <w:rPr>
          <w:rFonts w:ascii="Arial" w:hAnsi="Arial" w:cs="Arial"/>
          <w:sz w:val="24"/>
          <w:szCs w:val="24"/>
        </w:rPr>
        <w:t>Appeal summarised the relevant authorities on the point as follows</w:t>
      </w:r>
      <w:r>
        <w:rPr>
          <w:rFonts w:ascii="Arial" w:hAnsi="Arial" w:cs="Arial"/>
          <w:sz w:val="24"/>
          <w:szCs w:val="24"/>
        </w:rPr>
        <w:t>:</w:t>
      </w:r>
    </w:p>
    <w:p w14:paraId="397FADC9" w14:textId="77777777" w:rsidR="00A65AAD" w:rsidRDefault="00CF779D" w:rsidP="00DC3050">
      <w:pPr>
        <w:spacing w:line="480" w:lineRule="auto"/>
        <w:ind w:left="720"/>
        <w:jc w:val="both"/>
        <w:rPr>
          <w:rFonts w:ascii="Arial" w:hAnsi="Arial" w:cs="Arial"/>
          <w:i/>
        </w:rPr>
      </w:pPr>
      <w:r>
        <w:rPr>
          <w:rFonts w:ascii="Arial" w:hAnsi="Arial" w:cs="Arial"/>
          <w:i/>
        </w:rPr>
        <w:t>“</w:t>
      </w:r>
      <w:r w:rsidR="006F48D0">
        <w:rPr>
          <w:rFonts w:ascii="Arial" w:hAnsi="Arial" w:cs="Arial"/>
          <w:i/>
        </w:rPr>
        <w:t>50.</w:t>
      </w:r>
      <w:r w:rsidR="006F48D0">
        <w:rPr>
          <w:rFonts w:ascii="Arial" w:hAnsi="Arial" w:cs="Arial"/>
          <w:i/>
        </w:rPr>
        <w:tab/>
      </w:r>
      <w:r>
        <w:rPr>
          <w:rFonts w:ascii="Arial" w:hAnsi="Arial" w:cs="Arial"/>
          <w:i/>
        </w:rPr>
        <w:t xml:space="preserve">It has long been recognised </w:t>
      </w:r>
      <w:r w:rsidR="008108CA">
        <w:rPr>
          <w:rFonts w:ascii="Arial" w:hAnsi="Arial" w:cs="Arial"/>
          <w:i/>
        </w:rPr>
        <w:t xml:space="preserve">in South Africa that a court is entitled to protect itself and others against abuse of its process (see Western Assurance Co v Caldwell’s Trustee </w:t>
      </w:r>
      <w:r w:rsidR="008108CA" w:rsidRPr="00B261B7">
        <w:rPr>
          <w:rFonts w:ascii="Arial" w:hAnsi="Arial" w:cs="Arial"/>
          <w:b/>
          <w:i/>
          <w:u w:val="single"/>
        </w:rPr>
        <w:t>1918 AD 262</w:t>
      </w:r>
      <w:r w:rsidR="008108CA">
        <w:rPr>
          <w:rFonts w:ascii="Arial" w:hAnsi="Arial" w:cs="Arial"/>
          <w:b/>
          <w:i/>
        </w:rPr>
        <w:t xml:space="preserve"> </w:t>
      </w:r>
      <w:r w:rsidR="008108CA">
        <w:rPr>
          <w:rFonts w:ascii="Arial" w:hAnsi="Arial" w:cs="Arial"/>
          <w:i/>
        </w:rPr>
        <w:t xml:space="preserve">at 271; </w:t>
      </w:r>
      <w:proofErr w:type="spellStart"/>
      <w:r w:rsidR="008108CA">
        <w:rPr>
          <w:rFonts w:ascii="Arial" w:hAnsi="Arial" w:cs="Arial"/>
          <w:i/>
        </w:rPr>
        <w:t>Corderoy</w:t>
      </w:r>
      <w:proofErr w:type="spellEnd"/>
      <w:r w:rsidR="008108CA">
        <w:rPr>
          <w:rFonts w:ascii="Arial" w:hAnsi="Arial" w:cs="Arial"/>
          <w:i/>
        </w:rPr>
        <w:t xml:space="preserve"> v Union Government (Minister of Finance) </w:t>
      </w:r>
      <w:r w:rsidR="008108CA" w:rsidRPr="00B261B7">
        <w:rPr>
          <w:rFonts w:ascii="Arial" w:hAnsi="Arial" w:cs="Arial"/>
          <w:b/>
          <w:i/>
          <w:u w:val="single"/>
        </w:rPr>
        <w:t xml:space="preserve">1918 AD 512 </w:t>
      </w:r>
      <w:r w:rsidR="008108CA">
        <w:rPr>
          <w:rFonts w:ascii="Arial" w:hAnsi="Arial" w:cs="Arial"/>
          <w:i/>
        </w:rPr>
        <w:t xml:space="preserve">at 517; </w:t>
      </w:r>
      <w:r w:rsidR="008108CA" w:rsidRPr="008108CA">
        <w:rPr>
          <w:rFonts w:ascii="Arial" w:hAnsi="Arial" w:cs="Arial"/>
          <w:i/>
        </w:rPr>
        <w:t>Hudson v Hudson and another</w:t>
      </w:r>
      <w:r w:rsidR="008108CA" w:rsidRPr="008108CA">
        <w:rPr>
          <w:rFonts w:ascii="Arial" w:hAnsi="Arial" w:cs="Arial"/>
          <w:b/>
          <w:i/>
        </w:rPr>
        <w:t xml:space="preserve"> </w:t>
      </w:r>
      <w:r w:rsidR="008108CA" w:rsidRPr="00B261B7">
        <w:rPr>
          <w:rFonts w:ascii="Arial" w:hAnsi="Arial" w:cs="Arial"/>
          <w:b/>
          <w:i/>
          <w:u w:val="single"/>
        </w:rPr>
        <w:t>1927 AD 259</w:t>
      </w:r>
      <w:r w:rsidR="008108CA">
        <w:rPr>
          <w:rFonts w:ascii="Arial" w:hAnsi="Arial" w:cs="Arial"/>
          <w:b/>
          <w:i/>
        </w:rPr>
        <w:t xml:space="preserve"> </w:t>
      </w:r>
      <w:r w:rsidR="008108CA">
        <w:rPr>
          <w:rFonts w:ascii="Arial" w:hAnsi="Arial" w:cs="Arial"/>
          <w:i/>
        </w:rPr>
        <w:t xml:space="preserve">at 268; </w:t>
      </w:r>
      <w:proofErr w:type="spellStart"/>
      <w:r w:rsidR="008108CA">
        <w:rPr>
          <w:rFonts w:ascii="Arial" w:hAnsi="Arial" w:cs="Arial"/>
          <w:i/>
        </w:rPr>
        <w:t>Beinash</w:t>
      </w:r>
      <w:proofErr w:type="spellEnd"/>
      <w:r w:rsidR="008108CA">
        <w:rPr>
          <w:rFonts w:ascii="Arial" w:hAnsi="Arial" w:cs="Arial"/>
          <w:i/>
        </w:rPr>
        <w:t xml:space="preserve"> v </w:t>
      </w:r>
      <w:proofErr w:type="spellStart"/>
      <w:r w:rsidR="008108CA">
        <w:rPr>
          <w:rFonts w:ascii="Arial" w:hAnsi="Arial" w:cs="Arial"/>
          <w:i/>
        </w:rPr>
        <w:t>Wixley</w:t>
      </w:r>
      <w:proofErr w:type="spellEnd"/>
      <w:r w:rsidR="008108CA">
        <w:rPr>
          <w:rFonts w:ascii="Arial" w:hAnsi="Arial" w:cs="Arial"/>
          <w:i/>
        </w:rPr>
        <w:t xml:space="preserve"> </w:t>
      </w:r>
      <w:r w:rsidR="008108CA" w:rsidRPr="00B261B7">
        <w:rPr>
          <w:rFonts w:ascii="Arial" w:hAnsi="Arial" w:cs="Arial"/>
          <w:b/>
          <w:i/>
          <w:u w:val="single"/>
        </w:rPr>
        <w:t>[1997] ZASCA 32; 1997 (3) SA 721</w:t>
      </w:r>
      <w:r w:rsidR="008108CA">
        <w:rPr>
          <w:rFonts w:ascii="Arial" w:hAnsi="Arial" w:cs="Arial"/>
          <w:i/>
        </w:rPr>
        <w:t xml:space="preserve"> (A) at 734D; Brummer v </w:t>
      </w:r>
      <w:proofErr w:type="spellStart"/>
      <w:r w:rsidR="008108CA">
        <w:rPr>
          <w:rFonts w:ascii="Arial" w:hAnsi="Arial" w:cs="Arial"/>
          <w:i/>
        </w:rPr>
        <w:t>Gorfil</w:t>
      </w:r>
      <w:proofErr w:type="spellEnd"/>
      <w:r w:rsidR="008108CA">
        <w:rPr>
          <w:rFonts w:ascii="Arial" w:hAnsi="Arial" w:cs="Arial"/>
          <w:i/>
        </w:rPr>
        <w:t xml:space="preserve"> Brothers Investments (Pty) Ltd </w:t>
      </w:r>
      <w:proofErr w:type="spellStart"/>
      <w:r w:rsidR="008108CA">
        <w:rPr>
          <w:rFonts w:ascii="Arial" w:hAnsi="Arial" w:cs="Arial"/>
          <w:i/>
        </w:rPr>
        <w:t>en</w:t>
      </w:r>
      <w:proofErr w:type="spellEnd"/>
      <w:r w:rsidR="008108CA">
        <w:rPr>
          <w:rFonts w:ascii="Arial" w:hAnsi="Arial" w:cs="Arial"/>
          <w:i/>
        </w:rPr>
        <w:t xml:space="preserve"> </w:t>
      </w:r>
      <w:proofErr w:type="spellStart"/>
      <w:r w:rsidR="008108CA">
        <w:rPr>
          <w:rFonts w:ascii="Arial" w:hAnsi="Arial" w:cs="Arial"/>
          <w:i/>
        </w:rPr>
        <w:t>andere</w:t>
      </w:r>
      <w:proofErr w:type="spellEnd"/>
      <w:r w:rsidR="008108CA">
        <w:rPr>
          <w:rFonts w:ascii="Arial" w:hAnsi="Arial" w:cs="Arial"/>
          <w:i/>
        </w:rPr>
        <w:t xml:space="preserve"> </w:t>
      </w:r>
      <w:r w:rsidR="008108CA" w:rsidRPr="00B261B7">
        <w:rPr>
          <w:rFonts w:ascii="Arial" w:hAnsi="Arial" w:cs="Arial"/>
          <w:b/>
          <w:i/>
        </w:rPr>
        <w:t>1999 (3) SA 389</w:t>
      </w:r>
      <w:r w:rsidR="008108CA">
        <w:rPr>
          <w:rFonts w:ascii="Arial" w:hAnsi="Arial" w:cs="Arial"/>
          <w:i/>
        </w:rPr>
        <w:t xml:space="preserve"> (SCA) at 412C-D, but </w:t>
      </w:r>
      <w:proofErr w:type="spellStart"/>
      <w:r w:rsidR="008108CA">
        <w:rPr>
          <w:rFonts w:ascii="Arial" w:hAnsi="Arial" w:cs="Arial"/>
          <w:i/>
        </w:rPr>
        <w:t>no</w:t>
      </w:r>
      <w:proofErr w:type="spellEnd"/>
      <w:r w:rsidR="008108CA">
        <w:rPr>
          <w:rFonts w:ascii="Arial" w:hAnsi="Arial" w:cs="Arial"/>
          <w:i/>
        </w:rPr>
        <w:t xml:space="preserve"> </w:t>
      </w:r>
      <w:proofErr w:type="spellStart"/>
      <w:r w:rsidR="008108CA">
        <w:rPr>
          <w:rFonts w:ascii="Arial" w:hAnsi="Arial" w:cs="Arial"/>
          <w:i/>
        </w:rPr>
        <w:t>all embracing</w:t>
      </w:r>
      <w:proofErr w:type="spellEnd"/>
      <w:r w:rsidR="008108CA">
        <w:rPr>
          <w:rFonts w:ascii="Arial" w:hAnsi="Arial" w:cs="Arial"/>
          <w:i/>
        </w:rPr>
        <w:t xml:space="preserve"> definition of ‘abuse of process’ has been formulated. Frivolous or vexatious litigation has been held to be an abuse </w:t>
      </w:r>
      <w:r w:rsidR="00980FDC">
        <w:rPr>
          <w:rFonts w:ascii="Arial" w:hAnsi="Arial" w:cs="Arial"/>
          <w:i/>
        </w:rPr>
        <w:t xml:space="preserve">of process (per Innes CJ in Western Assurance v Caldwell’s Trustee supra at 271 and in </w:t>
      </w:r>
      <w:proofErr w:type="spellStart"/>
      <w:r w:rsidR="00980FDC">
        <w:rPr>
          <w:rFonts w:ascii="Arial" w:hAnsi="Arial" w:cs="Arial"/>
          <w:i/>
        </w:rPr>
        <w:t>Corderoy</w:t>
      </w:r>
      <w:proofErr w:type="spellEnd"/>
      <w:r w:rsidR="00980FDC">
        <w:rPr>
          <w:rFonts w:ascii="Arial" w:hAnsi="Arial" w:cs="Arial"/>
          <w:i/>
        </w:rPr>
        <w:t xml:space="preserve"> v Union </w:t>
      </w:r>
      <w:proofErr w:type="spellStart"/>
      <w:r w:rsidR="00980FDC">
        <w:rPr>
          <w:rFonts w:ascii="Arial" w:hAnsi="Arial" w:cs="Arial"/>
          <w:i/>
        </w:rPr>
        <w:t>Governement</w:t>
      </w:r>
      <w:proofErr w:type="spellEnd"/>
      <w:r w:rsidR="00980FDC">
        <w:rPr>
          <w:rFonts w:ascii="Arial" w:hAnsi="Arial" w:cs="Arial"/>
          <w:i/>
        </w:rPr>
        <w:t xml:space="preserve"> (Minister of Finance) supra at 517) and it has been said that ‘an attempt made to use for ulterior purposes machinery devised for the better administration of justice’ would constitute an abuse of the process (Hudson v Hudson and another supra at 268). In general, legal process is used properly when it is invoked for the vindication of rights or the enforcement of just claims and it is abused when it is diverted from its true course so as to serve extortion or oppression; or to exert pressure so as to achieve an improper end. The mere application of a particular court procedure for a purpose other than that for which it was primarily intended is typical, but not complete proof, of mala fides. In order to prove mala fides a further inference that an improper result was intended is required. Such an application for a court procedure (for a purpose other than that for which it was primarily intended) is therefore a characteristic, rather than a definition, of mala fides. Purpose or motive, even a mischievous or malici</w:t>
      </w:r>
      <w:r w:rsidR="00584561">
        <w:rPr>
          <w:rFonts w:ascii="Arial" w:hAnsi="Arial" w:cs="Arial"/>
          <w:i/>
        </w:rPr>
        <w:t xml:space="preserve">ous motive, is not in general a </w:t>
      </w:r>
      <w:r w:rsidR="00980FDC">
        <w:rPr>
          <w:rFonts w:ascii="Arial" w:hAnsi="Arial" w:cs="Arial"/>
          <w:i/>
        </w:rPr>
        <w:t xml:space="preserve">criteria for unlawfulness or invalidity. An improper motive may however be a </w:t>
      </w:r>
      <w:r w:rsidR="00980FDC">
        <w:rPr>
          <w:rFonts w:ascii="Arial" w:hAnsi="Arial" w:cs="Arial"/>
          <w:i/>
        </w:rPr>
        <w:lastRenderedPageBreak/>
        <w:t xml:space="preserve">factor where </w:t>
      </w:r>
      <w:r w:rsidR="00B261B7">
        <w:rPr>
          <w:rFonts w:ascii="Arial" w:hAnsi="Arial" w:cs="Arial"/>
          <w:i/>
        </w:rPr>
        <w:t xml:space="preserve">the abuse of court process is in issue. (Brummer v </w:t>
      </w:r>
      <w:proofErr w:type="spellStart"/>
      <w:r w:rsidR="00B261B7">
        <w:rPr>
          <w:rFonts w:ascii="Arial" w:hAnsi="Arial" w:cs="Arial"/>
          <w:i/>
        </w:rPr>
        <w:t>Gorfil</w:t>
      </w:r>
      <w:proofErr w:type="spellEnd"/>
      <w:r w:rsidR="00B261B7">
        <w:rPr>
          <w:rFonts w:ascii="Arial" w:hAnsi="Arial" w:cs="Arial"/>
          <w:i/>
        </w:rPr>
        <w:t xml:space="preserve"> Brothers Investments (Pty) </w:t>
      </w:r>
      <w:proofErr w:type="spellStart"/>
      <w:r w:rsidR="00B261B7">
        <w:rPr>
          <w:rFonts w:ascii="Arial" w:hAnsi="Arial" w:cs="Arial"/>
          <w:i/>
        </w:rPr>
        <w:t>Ltden</w:t>
      </w:r>
      <w:proofErr w:type="spellEnd"/>
      <w:r w:rsidR="00B261B7">
        <w:rPr>
          <w:rFonts w:ascii="Arial" w:hAnsi="Arial" w:cs="Arial"/>
          <w:i/>
        </w:rPr>
        <w:t xml:space="preserve"> </w:t>
      </w:r>
      <w:proofErr w:type="spellStart"/>
      <w:r w:rsidR="00B261B7">
        <w:rPr>
          <w:rFonts w:ascii="Arial" w:hAnsi="Arial" w:cs="Arial"/>
          <w:i/>
        </w:rPr>
        <w:t>andere</w:t>
      </w:r>
      <w:proofErr w:type="spellEnd"/>
      <w:r w:rsidR="00B261B7">
        <w:rPr>
          <w:rFonts w:ascii="Arial" w:hAnsi="Arial" w:cs="Arial"/>
          <w:i/>
        </w:rPr>
        <w:t xml:space="preserve"> supra at 412I-J and 416B). Accordingly, a plaintiff who has no bona fide claim but intends to use litigation to cause the defendant financial (or other) prejudice will be abusing the process (see </w:t>
      </w:r>
      <w:proofErr w:type="spellStart"/>
      <w:r w:rsidR="00B261B7">
        <w:rPr>
          <w:rFonts w:ascii="Arial" w:hAnsi="Arial" w:cs="Arial"/>
          <w:i/>
        </w:rPr>
        <w:t>Beinash</w:t>
      </w:r>
      <w:proofErr w:type="spellEnd"/>
      <w:r w:rsidR="00B261B7">
        <w:rPr>
          <w:rFonts w:ascii="Arial" w:hAnsi="Arial" w:cs="Arial"/>
          <w:i/>
        </w:rPr>
        <w:t xml:space="preserve"> and another v Ernst &amp; Young and others </w:t>
      </w:r>
      <w:r w:rsidR="00B261B7" w:rsidRPr="00820F2B">
        <w:rPr>
          <w:rFonts w:ascii="Arial" w:hAnsi="Arial" w:cs="Arial"/>
          <w:b/>
          <w:i/>
        </w:rPr>
        <w:t>1999 (2) SA 116</w:t>
      </w:r>
      <w:r w:rsidR="00B261B7">
        <w:rPr>
          <w:rFonts w:ascii="Arial" w:hAnsi="Arial" w:cs="Arial"/>
          <w:i/>
        </w:rPr>
        <w:t xml:space="preserve"> (CC) para 13). Nevertheless it is important to bear in mind that courts of law are open to all and it is only in exceptional cases that a court will close its doors to anyone who wishes to prosecute an action (per Solomon JA in Western Assurance Co v Caldwell’s Trustee </w:t>
      </w:r>
      <w:r w:rsidR="00B261B7" w:rsidRPr="00820F2B">
        <w:rPr>
          <w:rFonts w:ascii="Arial" w:hAnsi="Arial" w:cs="Arial"/>
          <w:b/>
          <w:i/>
        </w:rPr>
        <w:t>1918 AD 262</w:t>
      </w:r>
      <w:r w:rsidR="00B261B7">
        <w:rPr>
          <w:rFonts w:ascii="Arial" w:hAnsi="Arial" w:cs="Arial"/>
          <w:i/>
        </w:rPr>
        <w:t xml:space="preserve"> at 273-274). The importance of the right of access to courts enshrined by section 34 of the Constitution has already been referred to. However, where a litigant abuses the process this right will be restricted to protect and secure the right of access for those with b</w:t>
      </w:r>
      <w:r w:rsidR="00584561">
        <w:rPr>
          <w:rFonts w:ascii="Arial" w:hAnsi="Arial" w:cs="Arial"/>
          <w:i/>
        </w:rPr>
        <w:t>ona fide disputes (</w:t>
      </w:r>
      <w:proofErr w:type="spellStart"/>
      <w:r w:rsidR="00584561">
        <w:rPr>
          <w:rFonts w:ascii="Arial" w:hAnsi="Arial" w:cs="Arial"/>
          <w:i/>
        </w:rPr>
        <w:t>Beinash</w:t>
      </w:r>
      <w:proofErr w:type="spellEnd"/>
      <w:r w:rsidR="00584561">
        <w:rPr>
          <w:rFonts w:ascii="Arial" w:hAnsi="Arial" w:cs="Arial"/>
          <w:i/>
        </w:rPr>
        <w:t xml:space="preserve"> and A</w:t>
      </w:r>
      <w:r w:rsidR="00B261B7">
        <w:rPr>
          <w:rFonts w:ascii="Arial" w:hAnsi="Arial" w:cs="Arial"/>
          <w:i/>
        </w:rPr>
        <w:t>nother v Ernst &amp; Young and others supra para 17).</w:t>
      </w:r>
      <w:r w:rsidR="00584561">
        <w:rPr>
          <w:rFonts w:ascii="Arial" w:hAnsi="Arial" w:cs="Arial"/>
          <w:i/>
        </w:rPr>
        <w:t>”</w:t>
      </w:r>
    </w:p>
    <w:p w14:paraId="723ADDC5" w14:textId="77777777" w:rsidR="00A65AAD" w:rsidRPr="00C46E70" w:rsidRDefault="00A65AAD" w:rsidP="00EF7D59">
      <w:pPr>
        <w:spacing w:after="0" w:line="240" w:lineRule="auto"/>
        <w:jc w:val="both"/>
        <w:rPr>
          <w:rFonts w:ascii="Arial" w:hAnsi="Arial" w:cs="Arial"/>
        </w:rPr>
      </w:pPr>
    </w:p>
    <w:p w14:paraId="575AC208" w14:textId="77777777" w:rsidR="00E35E66" w:rsidRPr="000A64C5" w:rsidRDefault="008108CA" w:rsidP="0006276E">
      <w:pPr>
        <w:spacing w:line="480" w:lineRule="auto"/>
        <w:jc w:val="both"/>
        <w:rPr>
          <w:rFonts w:ascii="Arial" w:hAnsi="Arial" w:cs="Arial"/>
          <w:i/>
          <w:sz w:val="24"/>
          <w:szCs w:val="24"/>
        </w:rPr>
      </w:pPr>
      <w:r>
        <w:rPr>
          <w:rFonts w:ascii="Arial" w:hAnsi="Arial" w:cs="Arial"/>
          <w:sz w:val="24"/>
          <w:szCs w:val="24"/>
        </w:rPr>
        <w:t xml:space="preserve"> </w:t>
      </w:r>
      <w:r w:rsidR="00B913EB">
        <w:rPr>
          <w:rFonts w:ascii="Arial" w:hAnsi="Arial" w:cs="Arial"/>
          <w:sz w:val="24"/>
          <w:szCs w:val="24"/>
        </w:rPr>
        <w:t>[35</w:t>
      </w:r>
      <w:r w:rsidR="002D4E70">
        <w:rPr>
          <w:rFonts w:ascii="Arial" w:hAnsi="Arial" w:cs="Arial"/>
          <w:sz w:val="24"/>
          <w:szCs w:val="24"/>
        </w:rPr>
        <w:t>]</w:t>
      </w:r>
      <w:r w:rsidR="002D4E70">
        <w:rPr>
          <w:rFonts w:ascii="Arial" w:hAnsi="Arial" w:cs="Arial"/>
          <w:sz w:val="24"/>
          <w:szCs w:val="24"/>
        </w:rPr>
        <w:tab/>
        <w:t xml:space="preserve">Furthermore, in </w:t>
      </w:r>
      <w:proofErr w:type="spellStart"/>
      <w:r w:rsidR="002D4E70" w:rsidRPr="00251229">
        <w:rPr>
          <w:rFonts w:ascii="Arial" w:hAnsi="Arial" w:cs="Arial"/>
          <w:b/>
          <w:sz w:val="24"/>
          <w:szCs w:val="24"/>
        </w:rPr>
        <w:t>Ascendis</w:t>
      </w:r>
      <w:proofErr w:type="spellEnd"/>
      <w:r w:rsidR="002D4E70" w:rsidRPr="00251229">
        <w:rPr>
          <w:rFonts w:ascii="Arial" w:hAnsi="Arial" w:cs="Arial"/>
          <w:b/>
          <w:sz w:val="24"/>
          <w:szCs w:val="24"/>
        </w:rPr>
        <w:t xml:space="preserve"> Animal Health (Pty) Limited v Merck Sharpe Dohme Corporation and Others</w:t>
      </w:r>
      <w:r w:rsidR="00C96E04" w:rsidRPr="00DC3050">
        <w:rPr>
          <w:rStyle w:val="FootnoteReference"/>
          <w:rFonts w:ascii="Arial" w:hAnsi="Arial" w:cs="Arial"/>
          <w:sz w:val="24"/>
          <w:szCs w:val="24"/>
        </w:rPr>
        <w:footnoteReference w:id="34"/>
      </w:r>
      <w:r w:rsidR="002D4E70" w:rsidRPr="00251229">
        <w:rPr>
          <w:rFonts w:ascii="Arial" w:hAnsi="Arial" w:cs="Arial"/>
          <w:b/>
          <w:sz w:val="24"/>
          <w:szCs w:val="24"/>
        </w:rPr>
        <w:t xml:space="preserve"> </w:t>
      </w:r>
      <w:r w:rsidR="002D4E70">
        <w:rPr>
          <w:rFonts w:ascii="Arial" w:hAnsi="Arial" w:cs="Arial"/>
          <w:sz w:val="24"/>
          <w:szCs w:val="24"/>
        </w:rPr>
        <w:t xml:space="preserve"> the Constitutional Court reiterated that </w:t>
      </w:r>
      <w:r w:rsidR="002D4E70" w:rsidRPr="00D4418F">
        <w:rPr>
          <w:rFonts w:ascii="Arial" w:hAnsi="Arial" w:cs="Arial"/>
          <w:i/>
          <w:sz w:val="24"/>
          <w:szCs w:val="24"/>
        </w:rPr>
        <w:t xml:space="preserve">“Abuse of process concerns are motivated by the need to protect </w:t>
      </w:r>
      <w:r w:rsidR="002D4E70">
        <w:rPr>
          <w:rFonts w:ascii="Arial" w:hAnsi="Arial" w:cs="Arial"/>
          <w:i/>
          <w:sz w:val="24"/>
          <w:szCs w:val="24"/>
        </w:rPr>
        <w:t>‘</w:t>
      </w:r>
      <w:r w:rsidR="002D4E70" w:rsidRPr="00D4418F">
        <w:rPr>
          <w:rFonts w:ascii="Arial" w:hAnsi="Arial" w:cs="Arial"/>
          <w:i/>
          <w:sz w:val="24"/>
          <w:szCs w:val="24"/>
        </w:rPr>
        <w:t>the integrity of the adjudicative functions of courts,</w:t>
      </w:r>
      <w:r w:rsidR="002D4E70">
        <w:rPr>
          <w:rFonts w:ascii="Arial" w:hAnsi="Arial" w:cs="Arial"/>
          <w:i/>
          <w:sz w:val="24"/>
          <w:szCs w:val="24"/>
        </w:rPr>
        <w:t>’</w:t>
      </w:r>
      <w:r w:rsidR="002D4E70">
        <w:rPr>
          <w:rFonts w:ascii="Arial" w:hAnsi="Arial" w:cs="Arial"/>
          <w:sz w:val="24"/>
          <w:szCs w:val="24"/>
        </w:rPr>
        <w:t xml:space="preserve"> </w:t>
      </w:r>
      <w:r w:rsidR="002D4E70" w:rsidRPr="00E0707B">
        <w:rPr>
          <w:rFonts w:ascii="Arial" w:hAnsi="Arial" w:cs="Arial"/>
          <w:i/>
          <w:sz w:val="24"/>
          <w:szCs w:val="24"/>
        </w:rPr>
        <w:t>doing so ensures that procedures permitted by the rules of court are not used for a purpose extraneous to the truth-seeking objective inherent to the judicial process.”</w:t>
      </w:r>
    </w:p>
    <w:p w14:paraId="4FD2834C" w14:textId="77777777" w:rsidR="000B04D1" w:rsidRDefault="000B04D1" w:rsidP="000B04D1">
      <w:pPr>
        <w:spacing w:after="0" w:line="240" w:lineRule="auto"/>
        <w:jc w:val="both"/>
        <w:rPr>
          <w:rFonts w:ascii="Arial" w:hAnsi="Arial" w:cs="Arial"/>
          <w:sz w:val="24"/>
          <w:szCs w:val="24"/>
        </w:rPr>
      </w:pPr>
    </w:p>
    <w:p w14:paraId="5A03E502" w14:textId="77777777" w:rsidR="00A91CC7" w:rsidRDefault="00B913EB" w:rsidP="00A91CC7">
      <w:pPr>
        <w:spacing w:line="480" w:lineRule="auto"/>
        <w:jc w:val="both"/>
        <w:rPr>
          <w:rFonts w:ascii="Arial" w:hAnsi="Arial" w:cs="Arial"/>
          <w:sz w:val="24"/>
          <w:szCs w:val="24"/>
        </w:rPr>
      </w:pPr>
      <w:r>
        <w:rPr>
          <w:rFonts w:ascii="Arial" w:hAnsi="Arial" w:cs="Arial"/>
          <w:sz w:val="24"/>
          <w:szCs w:val="24"/>
        </w:rPr>
        <w:t>[36</w:t>
      </w:r>
      <w:r w:rsidR="00806450">
        <w:rPr>
          <w:rFonts w:ascii="Arial" w:hAnsi="Arial" w:cs="Arial"/>
          <w:sz w:val="24"/>
          <w:szCs w:val="24"/>
        </w:rPr>
        <w:t>]</w:t>
      </w:r>
      <w:r w:rsidR="00806450">
        <w:rPr>
          <w:rFonts w:ascii="Arial" w:hAnsi="Arial" w:cs="Arial"/>
          <w:sz w:val="24"/>
          <w:szCs w:val="24"/>
        </w:rPr>
        <w:tab/>
        <w:t>Sect</w:t>
      </w:r>
      <w:r w:rsidR="0054184C">
        <w:rPr>
          <w:rFonts w:ascii="Arial" w:hAnsi="Arial" w:cs="Arial"/>
          <w:sz w:val="24"/>
          <w:szCs w:val="24"/>
        </w:rPr>
        <w:t>ion 16</w:t>
      </w:r>
      <w:r w:rsidR="00C96E04">
        <w:rPr>
          <w:rStyle w:val="FootnoteReference"/>
          <w:rFonts w:ascii="Arial" w:hAnsi="Arial" w:cs="Arial"/>
          <w:sz w:val="24"/>
          <w:szCs w:val="24"/>
        </w:rPr>
        <w:footnoteReference w:id="35"/>
      </w:r>
      <w:r w:rsidR="0054184C">
        <w:rPr>
          <w:rFonts w:ascii="Arial" w:hAnsi="Arial" w:cs="Arial"/>
          <w:sz w:val="24"/>
          <w:szCs w:val="24"/>
        </w:rPr>
        <w:t xml:space="preserve"> of the Constitution</w:t>
      </w:r>
      <w:r w:rsidR="00806450">
        <w:rPr>
          <w:rFonts w:ascii="Arial" w:hAnsi="Arial" w:cs="Arial"/>
          <w:sz w:val="24"/>
          <w:szCs w:val="24"/>
        </w:rPr>
        <w:t xml:space="preserve"> protects the broader concept of freedom of expression, which </w:t>
      </w:r>
      <w:r w:rsidR="00D67E5C">
        <w:rPr>
          <w:rFonts w:ascii="Arial" w:hAnsi="Arial" w:cs="Arial"/>
          <w:sz w:val="24"/>
          <w:szCs w:val="24"/>
        </w:rPr>
        <w:t xml:space="preserve">includes academic freedom. </w:t>
      </w:r>
      <w:r w:rsidR="00806450">
        <w:rPr>
          <w:rFonts w:ascii="Arial" w:hAnsi="Arial" w:cs="Arial"/>
          <w:sz w:val="24"/>
          <w:szCs w:val="24"/>
        </w:rPr>
        <w:t>Section 24</w:t>
      </w:r>
      <w:r w:rsidR="00E123AB">
        <w:rPr>
          <w:rFonts w:ascii="Arial" w:hAnsi="Arial" w:cs="Arial"/>
          <w:sz w:val="24"/>
          <w:szCs w:val="24"/>
        </w:rPr>
        <w:t xml:space="preserve"> </w:t>
      </w:r>
      <w:r w:rsidR="00D67E5C">
        <w:rPr>
          <w:rFonts w:ascii="Arial" w:hAnsi="Arial" w:cs="Arial"/>
          <w:sz w:val="24"/>
          <w:szCs w:val="24"/>
        </w:rPr>
        <w:t xml:space="preserve">of the Constitution </w:t>
      </w:r>
      <w:r w:rsidR="00E123AB">
        <w:rPr>
          <w:rFonts w:ascii="Arial" w:hAnsi="Arial" w:cs="Arial"/>
          <w:sz w:val="24"/>
          <w:szCs w:val="24"/>
        </w:rPr>
        <w:t xml:space="preserve">guarantees </w:t>
      </w:r>
      <w:r w:rsidR="00806450">
        <w:rPr>
          <w:rFonts w:ascii="Arial" w:hAnsi="Arial" w:cs="Arial"/>
          <w:sz w:val="24"/>
          <w:szCs w:val="24"/>
        </w:rPr>
        <w:t xml:space="preserve">the right </w:t>
      </w:r>
      <w:r w:rsidR="00E123AB">
        <w:rPr>
          <w:rFonts w:ascii="Arial" w:hAnsi="Arial" w:cs="Arial"/>
          <w:sz w:val="24"/>
          <w:szCs w:val="24"/>
        </w:rPr>
        <w:t xml:space="preserve">of everyone </w:t>
      </w:r>
      <w:r w:rsidR="00806450">
        <w:rPr>
          <w:rFonts w:ascii="Arial" w:hAnsi="Arial" w:cs="Arial"/>
          <w:sz w:val="24"/>
          <w:szCs w:val="24"/>
        </w:rPr>
        <w:t>to an environment not harmful to one’s health and wellbeing</w:t>
      </w:r>
      <w:r w:rsidR="00D67E5C">
        <w:rPr>
          <w:rFonts w:ascii="Arial" w:hAnsi="Arial" w:cs="Arial"/>
          <w:sz w:val="24"/>
          <w:szCs w:val="24"/>
        </w:rPr>
        <w:t xml:space="preserve">, and also the right to have the environment protected from pollution and </w:t>
      </w:r>
      <w:r w:rsidR="00D67E5C">
        <w:rPr>
          <w:rFonts w:ascii="Arial" w:hAnsi="Arial" w:cs="Arial"/>
          <w:sz w:val="24"/>
          <w:szCs w:val="24"/>
        </w:rPr>
        <w:lastRenderedPageBreak/>
        <w:t>ecological degradation, which promotes conservation and secures ecologically sustainable development</w:t>
      </w:r>
      <w:r w:rsidR="00806450">
        <w:rPr>
          <w:rFonts w:ascii="Arial" w:hAnsi="Arial" w:cs="Arial"/>
          <w:sz w:val="24"/>
          <w:szCs w:val="24"/>
        </w:rPr>
        <w:t xml:space="preserve">. </w:t>
      </w:r>
      <w:r w:rsidR="00C31522">
        <w:rPr>
          <w:rFonts w:ascii="Arial" w:hAnsi="Arial" w:cs="Arial"/>
          <w:sz w:val="24"/>
          <w:szCs w:val="24"/>
        </w:rPr>
        <w:t xml:space="preserve">The importance of free engagement and debate on matters of public importance is confirmed in </w:t>
      </w:r>
      <w:r w:rsidR="00C31522" w:rsidRPr="00806450">
        <w:rPr>
          <w:rFonts w:ascii="Arial" w:hAnsi="Arial" w:cs="Arial"/>
          <w:b/>
          <w:sz w:val="24"/>
          <w:szCs w:val="24"/>
        </w:rPr>
        <w:t>Khumalo</w:t>
      </w:r>
      <w:r w:rsidR="00AA1909">
        <w:rPr>
          <w:rFonts w:ascii="Arial" w:hAnsi="Arial" w:cs="Arial"/>
          <w:b/>
          <w:sz w:val="24"/>
          <w:szCs w:val="24"/>
        </w:rPr>
        <w:t xml:space="preserve"> and Others</w:t>
      </w:r>
      <w:r w:rsidR="00C31522" w:rsidRPr="00806450">
        <w:rPr>
          <w:rFonts w:ascii="Arial" w:hAnsi="Arial" w:cs="Arial"/>
          <w:b/>
          <w:sz w:val="24"/>
          <w:szCs w:val="24"/>
        </w:rPr>
        <w:t xml:space="preserve"> v Holomisa</w:t>
      </w:r>
      <w:r w:rsidR="00376858" w:rsidRPr="00641EFE">
        <w:rPr>
          <w:rStyle w:val="FootnoteReference"/>
          <w:rFonts w:ascii="Arial" w:hAnsi="Arial" w:cs="Arial"/>
          <w:sz w:val="24"/>
          <w:szCs w:val="24"/>
        </w:rPr>
        <w:footnoteReference w:id="36"/>
      </w:r>
      <w:r w:rsidR="00C31522" w:rsidRPr="00641EFE">
        <w:rPr>
          <w:rFonts w:ascii="Arial" w:hAnsi="Arial" w:cs="Arial"/>
          <w:sz w:val="24"/>
          <w:szCs w:val="24"/>
        </w:rPr>
        <w:t>,</w:t>
      </w:r>
      <w:r w:rsidR="00C31522">
        <w:rPr>
          <w:rFonts w:ascii="Arial" w:hAnsi="Arial" w:cs="Arial"/>
          <w:sz w:val="24"/>
          <w:szCs w:val="24"/>
        </w:rPr>
        <w:t xml:space="preserve"> in which the Constitutional Court held that the right to freedom of expression is “</w:t>
      </w:r>
      <w:r w:rsidR="00C31522" w:rsidRPr="00245642">
        <w:rPr>
          <w:rFonts w:ascii="Arial" w:hAnsi="Arial" w:cs="Arial"/>
          <w:i/>
          <w:sz w:val="24"/>
          <w:szCs w:val="24"/>
        </w:rPr>
        <w:t>integral to a democratic society for many reasons</w:t>
      </w:r>
      <w:r w:rsidR="00C31522">
        <w:rPr>
          <w:rFonts w:ascii="Arial" w:hAnsi="Arial" w:cs="Arial"/>
          <w:sz w:val="24"/>
          <w:szCs w:val="24"/>
        </w:rPr>
        <w:t>”, including the reason that the right is constitutive of the dignity and autonomy of human beings and because</w:t>
      </w:r>
      <w:r w:rsidR="002219DB">
        <w:rPr>
          <w:rFonts w:ascii="Arial" w:hAnsi="Arial" w:cs="Arial"/>
          <w:sz w:val="24"/>
          <w:szCs w:val="24"/>
        </w:rPr>
        <w:t>, without it, the ability of citizens to make responsible political decisions and to participate effectively in public life would be stifled.</w:t>
      </w:r>
      <w:r w:rsidR="00AA1909">
        <w:rPr>
          <w:rFonts w:ascii="Arial" w:hAnsi="Arial" w:cs="Arial"/>
          <w:sz w:val="24"/>
          <w:szCs w:val="24"/>
        </w:rPr>
        <w:t xml:space="preserve"> </w:t>
      </w:r>
    </w:p>
    <w:p w14:paraId="627554DE" w14:textId="77777777" w:rsidR="006F48D0" w:rsidRPr="00A91CC7" w:rsidRDefault="006F48D0" w:rsidP="00A91CC7">
      <w:pPr>
        <w:spacing w:line="480" w:lineRule="auto"/>
        <w:jc w:val="both"/>
        <w:rPr>
          <w:rFonts w:ascii="Arial" w:hAnsi="Arial" w:cs="Arial"/>
          <w:b/>
          <w:sz w:val="24"/>
          <w:szCs w:val="24"/>
        </w:rPr>
      </w:pPr>
    </w:p>
    <w:p w14:paraId="4A45AC01" w14:textId="77777777" w:rsidR="002219DB" w:rsidRDefault="002219DB" w:rsidP="002219DB">
      <w:pPr>
        <w:spacing w:after="240" w:line="360" w:lineRule="auto"/>
        <w:rPr>
          <w:rFonts w:ascii="Arial" w:hAnsi="Arial" w:cs="Arial"/>
          <w:sz w:val="24"/>
          <w:szCs w:val="24"/>
        </w:rPr>
      </w:pPr>
      <w:r>
        <w:rPr>
          <w:rFonts w:ascii="Arial" w:hAnsi="Arial" w:cs="Arial"/>
          <w:sz w:val="24"/>
          <w:szCs w:val="24"/>
        </w:rPr>
        <w:t>[</w:t>
      </w:r>
      <w:r w:rsidR="00B913EB">
        <w:rPr>
          <w:rFonts w:ascii="Arial" w:hAnsi="Arial" w:cs="Arial"/>
          <w:sz w:val="24"/>
          <w:szCs w:val="24"/>
        </w:rPr>
        <w:t>37</w:t>
      </w:r>
      <w:r>
        <w:rPr>
          <w:rFonts w:ascii="Arial" w:hAnsi="Arial" w:cs="Arial"/>
          <w:sz w:val="24"/>
          <w:szCs w:val="24"/>
        </w:rPr>
        <w:t>]</w:t>
      </w:r>
      <w:r>
        <w:rPr>
          <w:rFonts w:ascii="Arial" w:hAnsi="Arial" w:cs="Arial"/>
          <w:sz w:val="24"/>
          <w:szCs w:val="24"/>
        </w:rPr>
        <w:tab/>
        <w:t xml:space="preserve">In </w:t>
      </w:r>
      <w:r w:rsidRPr="00806450">
        <w:rPr>
          <w:rFonts w:ascii="Arial" w:hAnsi="Arial" w:cs="Arial"/>
          <w:b/>
          <w:sz w:val="24"/>
          <w:szCs w:val="24"/>
        </w:rPr>
        <w:t>SANDU v Minister of Defence</w:t>
      </w:r>
      <w:r w:rsidR="00641EFE" w:rsidRPr="006F48D0">
        <w:rPr>
          <w:rStyle w:val="FootnoteReference"/>
          <w:rFonts w:ascii="Arial" w:hAnsi="Arial" w:cs="Arial"/>
          <w:sz w:val="24"/>
          <w:szCs w:val="24"/>
        </w:rPr>
        <w:footnoteReference w:id="37"/>
      </w:r>
      <w:r w:rsidRPr="006F48D0">
        <w:rPr>
          <w:rFonts w:ascii="Arial" w:hAnsi="Arial" w:cs="Arial"/>
          <w:sz w:val="24"/>
          <w:szCs w:val="24"/>
        </w:rPr>
        <w:t xml:space="preserve"> </w:t>
      </w:r>
      <w:r>
        <w:rPr>
          <w:rFonts w:ascii="Arial" w:hAnsi="Arial" w:cs="Arial"/>
          <w:sz w:val="24"/>
          <w:szCs w:val="24"/>
        </w:rPr>
        <w:t>the importance of the right was stated as follows:</w:t>
      </w:r>
    </w:p>
    <w:p w14:paraId="6DE476A8" w14:textId="77777777" w:rsidR="00806450" w:rsidRDefault="002219DB" w:rsidP="00164F6C">
      <w:pPr>
        <w:spacing w:after="240" w:line="360" w:lineRule="auto"/>
        <w:ind w:left="720"/>
        <w:rPr>
          <w:rFonts w:ascii="Arial" w:hAnsi="Arial" w:cs="Arial"/>
          <w:i/>
          <w:sz w:val="24"/>
          <w:szCs w:val="24"/>
        </w:rPr>
      </w:pPr>
      <w:r>
        <w:rPr>
          <w:rFonts w:ascii="Arial" w:hAnsi="Arial" w:cs="Arial"/>
          <w:i/>
          <w:sz w:val="24"/>
          <w:szCs w:val="24"/>
        </w:rPr>
        <w:t>“freedom of expression lies at the heart of a democracy. It is valuable for many reasons, including its instrumental function as a guarantor of democracy, its implicit recognition and protection of the moral agency of individuals in our society and its facilitation of the search for truth by individuals and society generally. The Constitution recognises that individuals in our society need to be able to hear, form and express opinions and views freely on a wide range of matters.”</w:t>
      </w:r>
    </w:p>
    <w:p w14:paraId="70A8F221" w14:textId="77777777" w:rsidR="00164F6C" w:rsidRDefault="00164F6C" w:rsidP="00164F6C">
      <w:pPr>
        <w:spacing w:after="240" w:line="360" w:lineRule="auto"/>
        <w:ind w:left="720"/>
        <w:rPr>
          <w:rFonts w:ascii="Arial" w:hAnsi="Arial" w:cs="Arial"/>
          <w:i/>
          <w:sz w:val="24"/>
          <w:szCs w:val="24"/>
        </w:rPr>
      </w:pPr>
    </w:p>
    <w:p w14:paraId="1C5DD9CC" w14:textId="77777777" w:rsidR="00C31522" w:rsidRPr="009164D6" w:rsidRDefault="00B913EB" w:rsidP="009164D6">
      <w:pPr>
        <w:spacing w:line="480" w:lineRule="auto"/>
        <w:rPr>
          <w:rFonts w:ascii="Arial" w:hAnsi="Arial" w:cs="Arial"/>
          <w:sz w:val="24"/>
          <w:szCs w:val="24"/>
        </w:rPr>
      </w:pPr>
      <w:r>
        <w:rPr>
          <w:rFonts w:ascii="Arial" w:hAnsi="Arial" w:cs="Arial"/>
          <w:sz w:val="24"/>
          <w:szCs w:val="24"/>
        </w:rPr>
        <w:t>[38</w:t>
      </w:r>
      <w:r w:rsidR="00E123AB">
        <w:rPr>
          <w:rFonts w:ascii="Arial" w:hAnsi="Arial" w:cs="Arial"/>
          <w:sz w:val="24"/>
          <w:szCs w:val="24"/>
        </w:rPr>
        <w:t>]</w:t>
      </w:r>
      <w:r w:rsidR="00E123AB">
        <w:rPr>
          <w:rFonts w:ascii="Arial" w:hAnsi="Arial" w:cs="Arial"/>
          <w:sz w:val="24"/>
          <w:szCs w:val="24"/>
        </w:rPr>
        <w:tab/>
        <w:t>For these reasons elaborated above</w:t>
      </w:r>
      <w:r w:rsidR="002219DB">
        <w:rPr>
          <w:rFonts w:ascii="Arial" w:hAnsi="Arial" w:cs="Arial"/>
          <w:sz w:val="24"/>
          <w:szCs w:val="24"/>
        </w:rPr>
        <w:t xml:space="preserve"> our highest courts have recognised that an order preventing a person from making allegedly defamatory statements is a </w:t>
      </w:r>
      <w:r w:rsidR="00806450">
        <w:rPr>
          <w:rFonts w:ascii="Arial" w:hAnsi="Arial" w:cs="Arial"/>
          <w:sz w:val="24"/>
          <w:szCs w:val="24"/>
        </w:rPr>
        <w:t>“</w:t>
      </w:r>
      <w:r w:rsidR="002219DB" w:rsidRPr="00806450">
        <w:rPr>
          <w:rFonts w:ascii="Arial" w:hAnsi="Arial" w:cs="Arial"/>
          <w:i/>
          <w:sz w:val="24"/>
          <w:szCs w:val="24"/>
        </w:rPr>
        <w:t xml:space="preserve">drastic interference with freedom of speech and should only be ordered where there </w:t>
      </w:r>
      <w:r w:rsidR="002219DB" w:rsidRPr="00806450">
        <w:rPr>
          <w:rFonts w:ascii="Arial" w:hAnsi="Arial" w:cs="Arial"/>
          <w:i/>
          <w:sz w:val="24"/>
          <w:szCs w:val="24"/>
        </w:rPr>
        <w:lastRenderedPageBreak/>
        <w:t xml:space="preserve">is a </w:t>
      </w:r>
      <w:r w:rsidR="00806450" w:rsidRPr="00806450">
        <w:rPr>
          <w:rFonts w:ascii="Arial" w:hAnsi="Arial" w:cs="Arial"/>
          <w:i/>
          <w:sz w:val="24"/>
          <w:szCs w:val="24"/>
        </w:rPr>
        <w:t>substantial risk of grave injustice</w:t>
      </w:r>
      <w:r w:rsidR="00806450">
        <w:rPr>
          <w:rFonts w:ascii="Arial" w:hAnsi="Arial" w:cs="Arial"/>
          <w:sz w:val="24"/>
          <w:szCs w:val="24"/>
        </w:rPr>
        <w:t>”</w:t>
      </w:r>
      <w:r w:rsidR="00641F3C">
        <w:rPr>
          <w:rStyle w:val="FootnoteReference"/>
          <w:rFonts w:ascii="Arial" w:hAnsi="Arial" w:cs="Arial"/>
          <w:sz w:val="24"/>
          <w:szCs w:val="24"/>
        </w:rPr>
        <w:footnoteReference w:id="38"/>
      </w:r>
      <w:r w:rsidR="00806450">
        <w:rPr>
          <w:rFonts w:ascii="Arial" w:hAnsi="Arial" w:cs="Arial"/>
          <w:sz w:val="24"/>
          <w:szCs w:val="24"/>
        </w:rPr>
        <w:t xml:space="preserve">. Such an order affects not just the constitutional rights of the speaker to express himself, but also the constitutional rights of the public to hear the statements concerned. Such an order is therefore granted only in extremely </w:t>
      </w:r>
      <w:r w:rsidR="00E123AB">
        <w:rPr>
          <w:rFonts w:ascii="Arial" w:hAnsi="Arial" w:cs="Arial"/>
          <w:sz w:val="24"/>
          <w:szCs w:val="24"/>
        </w:rPr>
        <w:t xml:space="preserve">circumscribed and </w:t>
      </w:r>
      <w:r w:rsidR="00806450">
        <w:rPr>
          <w:rFonts w:ascii="Arial" w:hAnsi="Arial" w:cs="Arial"/>
          <w:sz w:val="24"/>
          <w:szCs w:val="24"/>
        </w:rPr>
        <w:t xml:space="preserve">narrow circumstances, and only after considering the prejudice to the public. </w:t>
      </w:r>
    </w:p>
    <w:p w14:paraId="577919AF" w14:textId="77777777" w:rsidR="00C31522" w:rsidRDefault="00C31522" w:rsidP="003300EA">
      <w:pPr>
        <w:spacing w:after="0" w:line="360" w:lineRule="auto"/>
        <w:rPr>
          <w:rFonts w:ascii="Arial" w:hAnsi="Arial" w:cs="Arial"/>
          <w:b/>
          <w:sz w:val="24"/>
          <w:szCs w:val="24"/>
          <w:u w:val="single"/>
        </w:rPr>
      </w:pPr>
    </w:p>
    <w:p w14:paraId="5BDB3FB7" w14:textId="77777777" w:rsidR="003300EA" w:rsidRDefault="00271E2C" w:rsidP="003300EA">
      <w:pPr>
        <w:spacing w:after="0" w:line="360" w:lineRule="auto"/>
        <w:rPr>
          <w:rFonts w:ascii="Arial" w:hAnsi="Arial" w:cs="Arial"/>
          <w:b/>
          <w:sz w:val="24"/>
          <w:szCs w:val="24"/>
          <w:u w:val="single"/>
        </w:rPr>
      </w:pPr>
      <w:r>
        <w:rPr>
          <w:rFonts w:ascii="Arial" w:hAnsi="Arial" w:cs="Arial"/>
          <w:b/>
          <w:sz w:val="24"/>
          <w:szCs w:val="24"/>
          <w:u w:val="single"/>
        </w:rPr>
        <w:t>The Features of</w:t>
      </w:r>
      <w:r w:rsidR="00C22551">
        <w:rPr>
          <w:rFonts w:ascii="Arial" w:hAnsi="Arial" w:cs="Arial"/>
          <w:b/>
          <w:sz w:val="24"/>
          <w:szCs w:val="24"/>
          <w:u w:val="single"/>
        </w:rPr>
        <w:t xml:space="preserve"> </w:t>
      </w:r>
      <w:r w:rsidR="00FF5CFD">
        <w:rPr>
          <w:rFonts w:ascii="Arial" w:hAnsi="Arial" w:cs="Arial"/>
          <w:b/>
          <w:sz w:val="24"/>
          <w:szCs w:val="24"/>
          <w:u w:val="single"/>
        </w:rPr>
        <w:t>SLAPP</w:t>
      </w:r>
    </w:p>
    <w:p w14:paraId="052833F7" w14:textId="77777777" w:rsidR="000B04D1" w:rsidRDefault="000B04D1" w:rsidP="000B04D1">
      <w:pPr>
        <w:spacing w:after="0" w:line="240" w:lineRule="auto"/>
        <w:rPr>
          <w:rFonts w:ascii="Arial" w:hAnsi="Arial" w:cs="Arial"/>
          <w:b/>
          <w:sz w:val="24"/>
          <w:szCs w:val="24"/>
          <w:u w:val="single"/>
        </w:rPr>
      </w:pPr>
    </w:p>
    <w:p w14:paraId="725E2E18" w14:textId="77777777" w:rsidR="003D6F38" w:rsidRDefault="003D6F38" w:rsidP="000B04D1">
      <w:pPr>
        <w:spacing w:after="0" w:line="240" w:lineRule="auto"/>
        <w:rPr>
          <w:rFonts w:ascii="Arial" w:hAnsi="Arial" w:cs="Arial"/>
          <w:b/>
          <w:sz w:val="24"/>
          <w:szCs w:val="24"/>
          <w:u w:val="single"/>
        </w:rPr>
      </w:pPr>
    </w:p>
    <w:p w14:paraId="221B44BC" w14:textId="77777777" w:rsidR="00822297" w:rsidRDefault="00822297" w:rsidP="000B04D1">
      <w:pPr>
        <w:spacing w:after="0" w:line="240" w:lineRule="auto"/>
        <w:rPr>
          <w:rFonts w:ascii="Arial" w:hAnsi="Arial" w:cs="Arial"/>
          <w:b/>
          <w:sz w:val="24"/>
          <w:szCs w:val="24"/>
          <w:u w:val="single"/>
        </w:rPr>
      </w:pPr>
    </w:p>
    <w:p w14:paraId="0B289713" w14:textId="77777777" w:rsidR="00783D15" w:rsidRPr="008D538D" w:rsidRDefault="00B913EB" w:rsidP="008D538D">
      <w:pPr>
        <w:spacing w:after="0" w:line="480" w:lineRule="auto"/>
        <w:rPr>
          <w:rFonts w:ascii="Arial" w:hAnsi="Arial" w:cs="Arial"/>
          <w:b/>
          <w:sz w:val="24"/>
          <w:szCs w:val="24"/>
          <w:u w:val="single"/>
        </w:rPr>
      </w:pPr>
      <w:r>
        <w:rPr>
          <w:rFonts w:ascii="Arial" w:hAnsi="Arial" w:cs="Arial"/>
          <w:sz w:val="24"/>
          <w:szCs w:val="24"/>
        </w:rPr>
        <w:t>[39</w:t>
      </w:r>
      <w:r w:rsidR="003300EA">
        <w:rPr>
          <w:rFonts w:ascii="Arial" w:hAnsi="Arial" w:cs="Arial"/>
          <w:sz w:val="24"/>
          <w:szCs w:val="24"/>
        </w:rPr>
        <w:t>]</w:t>
      </w:r>
      <w:r w:rsidR="003300EA">
        <w:rPr>
          <w:rFonts w:ascii="Arial" w:hAnsi="Arial" w:cs="Arial"/>
          <w:sz w:val="24"/>
          <w:szCs w:val="24"/>
        </w:rPr>
        <w:tab/>
      </w:r>
      <w:r w:rsidR="00FF5CFD">
        <w:rPr>
          <w:rFonts w:ascii="Arial" w:hAnsi="Arial" w:cs="Arial"/>
          <w:sz w:val="24"/>
          <w:szCs w:val="24"/>
        </w:rPr>
        <w:t>SLAPP</w:t>
      </w:r>
      <w:r w:rsidR="00803BDD">
        <w:rPr>
          <w:rFonts w:ascii="Arial" w:hAnsi="Arial" w:cs="Arial"/>
          <w:sz w:val="24"/>
          <w:szCs w:val="24"/>
        </w:rPr>
        <w:t>s</w:t>
      </w:r>
      <w:r w:rsidR="006120E6">
        <w:rPr>
          <w:rFonts w:ascii="Arial" w:hAnsi="Arial" w:cs="Arial"/>
          <w:sz w:val="24"/>
          <w:szCs w:val="24"/>
        </w:rPr>
        <w:t xml:space="preserve"> are Strategic Lawsuits</w:t>
      </w:r>
      <w:r w:rsidR="00803BDD">
        <w:rPr>
          <w:rFonts w:ascii="Arial" w:hAnsi="Arial" w:cs="Arial"/>
          <w:sz w:val="24"/>
          <w:szCs w:val="24"/>
        </w:rPr>
        <w:t xml:space="preserve"> or Litigation</w:t>
      </w:r>
      <w:r w:rsidR="006120E6">
        <w:rPr>
          <w:rFonts w:ascii="Arial" w:hAnsi="Arial" w:cs="Arial"/>
          <w:sz w:val="24"/>
          <w:szCs w:val="24"/>
        </w:rPr>
        <w:t xml:space="preserve"> Against Pu</w:t>
      </w:r>
      <w:r w:rsidR="00EC6AB2">
        <w:rPr>
          <w:rFonts w:ascii="Arial" w:hAnsi="Arial" w:cs="Arial"/>
          <w:sz w:val="24"/>
          <w:szCs w:val="24"/>
        </w:rPr>
        <w:t>blic Participation, meritless or</w:t>
      </w:r>
      <w:r w:rsidR="008D538D">
        <w:rPr>
          <w:rFonts w:ascii="Arial" w:hAnsi="Arial" w:cs="Arial"/>
          <w:sz w:val="24"/>
          <w:szCs w:val="24"/>
        </w:rPr>
        <w:t xml:space="preserve"> </w:t>
      </w:r>
      <w:r w:rsidR="006120E6">
        <w:rPr>
          <w:rFonts w:ascii="Arial" w:hAnsi="Arial" w:cs="Arial"/>
          <w:sz w:val="24"/>
          <w:szCs w:val="24"/>
        </w:rPr>
        <w:t>exaggerated lawsuits intended to intimidate civil society advocates, human rights defenders, journalists,</w:t>
      </w:r>
      <w:r w:rsidR="00245642">
        <w:rPr>
          <w:rFonts w:ascii="Arial" w:hAnsi="Arial" w:cs="Arial"/>
          <w:sz w:val="24"/>
          <w:szCs w:val="24"/>
        </w:rPr>
        <w:t xml:space="preserve"> academics and</w:t>
      </w:r>
      <w:r w:rsidR="006120E6">
        <w:rPr>
          <w:rFonts w:ascii="Arial" w:hAnsi="Arial" w:cs="Arial"/>
          <w:sz w:val="24"/>
          <w:szCs w:val="24"/>
        </w:rPr>
        <w:t xml:space="preserve"> individuals </w:t>
      </w:r>
      <w:r w:rsidR="008D538D">
        <w:rPr>
          <w:rFonts w:ascii="Arial" w:hAnsi="Arial" w:cs="Arial"/>
          <w:sz w:val="24"/>
          <w:szCs w:val="24"/>
        </w:rPr>
        <w:t xml:space="preserve">as well as </w:t>
      </w:r>
      <w:r w:rsidR="006120E6">
        <w:rPr>
          <w:rFonts w:ascii="Arial" w:hAnsi="Arial" w:cs="Arial"/>
          <w:sz w:val="24"/>
          <w:szCs w:val="24"/>
        </w:rPr>
        <w:t>organisation</w:t>
      </w:r>
      <w:r w:rsidR="008D538D">
        <w:rPr>
          <w:rFonts w:ascii="Arial" w:hAnsi="Arial" w:cs="Arial"/>
          <w:sz w:val="24"/>
          <w:szCs w:val="24"/>
        </w:rPr>
        <w:t>s acting in the public interest. They are litigated</w:t>
      </w:r>
      <w:r w:rsidR="006120E6">
        <w:rPr>
          <w:rFonts w:ascii="Arial" w:hAnsi="Arial" w:cs="Arial"/>
          <w:sz w:val="24"/>
          <w:szCs w:val="24"/>
        </w:rPr>
        <w:t xml:space="preserve"> into silence</w:t>
      </w:r>
      <w:r w:rsidR="008D538D">
        <w:rPr>
          <w:rFonts w:ascii="Arial" w:hAnsi="Arial" w:cs="Arial"/>
          <w:sz w:val="24"/>
          <w:szCs w:val="24"/>
        </w:rPr>
        <w:t xml:space="preserve"> by corporations and often times drained of</w:t>
      </w:r>
      <w:r w:rsidR="006120E6">
        <w:rPr>
          <w:rFonts w:ascii="Arial" w:hAnsi="Arial" w:cs="Arial"/>
          <w:sz w:val="24"/>
          <w:szCs w:val="24"/>
        </w:rPr>
        <w:t xml:space="preserve"> their resources</w:t>
      </w:r>
      <w:r w:rsidR="001843D6">
        <w:rPr>
          <w:rFonts w:ascii="Arial" w:hAnsi="Arial" w:cs="Arial"/>
          <w:sz w:val="24"/>
          <w:szCs w:val="24"/>
        </w:rPr>
        <w:t xml:space="preserve">. </w:t>
      </w:r>
      <w:r w:rsidR="008B414E">
        <w:rPr>
          <w:rFonts w:ascii="Arial" w:hAnsi="Arial" w:cs="Arial"/>
          <w:sz w:val="24"/>
          <w:szCs w:val="24"/>
        </w:rPr>
        <w:t xml:space="preserve"> </w:t>
      </w:r>
      <w:r w:rsidR="006E01F8">
        <w:rPr>
          <w:rFonts w:ascii="Arial" w:hAnsi="Arial" w:cs="Arial"/>
          <w:sz w:val="24"/>
          <w:szCs w:val="24"/>
        </w:rPr>
        <w:t xml:space="preserve">The term </w:t>
      </w:r>
      <w:r w:rsidR="00FF5CFD">
        <w:rPr>
          <w:rFonts w:ascii="Arial" w:hAnsi="Arial" w:cs="Arial"/>
          <w:sz w:val="24"/>
          <w:szCs w:val="24"/>
        </w:rPr>
        <w:t>SLAPP</w:t>
      </w:r>
      <w:r w:rsidR="00BF4312">
        <w:rPr>
          <w:rFonts w:ascii="Arial" w:hAnsi="Arial" w:cs="Arial"/>
          <w:sz w:val="24"/>
          <w:szCs w:val="24"/>
        </w:rPr>
        <w:t xml:space="preserve"> was first coined by P</w:t>
      </w:r>
      <w:r w:rsidR="006E01F8">
        <w:rPr>
          <w:rFonts w:ascii="Arial" w:hAnsi="Arial" w:cs="Arial"/>
          <w:sz w:val="24"/>
          <w:szCs w:val="24"/>
        </w:rPr>
        <w:t>rofes</w:t>
      </w:r>
      <w:r w:rsidR="00425A12">
        <w:rPr>
          <w:rFonts w:ascii="Arial" w:hAnsi="Arial" w:cs="Arial"/>
          <w:sz w:val="24"/>
          <w:szCs w:val="24"/>
        </w:rPr>
        <w:t xml:space="preserve">sor George W </w:t>
      </w:r>
      <w:proofErr w:type="spellStart"/>
      <w:r w:rsidR="00425A12">
        <w:rPr>
          <w:rFonts w:ascii="Arial" w:hAnsi="Arial" w:cs="Arial"/>
          <w:sz w:val="24"/>
          <w:szCs w:val="24"/>
        </w:rPr>
        <w:t>Pring</w:t>
      </w:r>
      <w:proofErr w:type="spellEnd"/>
      <w:r w:rsidR="00425A12">
        <w:rPr>
          <w:rFonts w:ascii="Arial" w:hAnsi="Arial" w:cs="Arial"/>
          <w:sz w:val="24"/>
          <w:szCs w:val="24"/>
        </w:rPr>
        <w:t xml:space="preserve"> and Penelope</w:t>
      </w:r>
      <w:r w:rsidR="000C529A">
        <w:rPr>
          <w:rFonts w:ascii="Arial" w:hAnsi="Arial" w:cs="Arial"/>
          <w:sz w:val="24"/>
          <w:szCs w:val="24"/>
        </w:rPr>
        <w:t xml:space="preserve"> </w:t>
      </w:r>
      <w:proofErr w:type="spellStart"/>
      <w:r w:rsidR="006E01F8">
        <w:rPr>
          <w:rFonts w:ascii="Arial" w:hAnsi="Arial" w:cs="Arial"/>
          <w:sz w:val="24"/>
          <w:szCs w:val="24"/>
        </w:rPr>
        <w:t>Canan</w:t>
      </w:r>
      <w:proofErr w:type="spellEnd"/>
      <w:r w:rsidR="004D2B6B">
        <w:rPr>
          <w:rStyle w:val="FootnoteReference"/>
          <w:rFonts w:ascii="Arial" w:hAnsi="Arial" w:cs="Arial"/>
          <w:sz w:val="24"/>
          <w:szCs w:val="24"/>
        </w:rPr>
        <w:footnoteReference w:id="39"/>
      </w:r>
      <w:r w:rsidR="00425A12">
        <w:rPr>
          <w:rFonts w:ascii="Arial" w:hAnsi="Arial" w:cs="Arial"/>
          <w:i/>
          <w:sz w:val="24"/>
          <w:szCs w:val="24"/>
        </w:rPr>
        <w:t>.</w:t>
      </w:r>
      <w:r w:rsidR="003B64DE">
        <w:rPr>
          <w:rFonts w:ascii="Arial" w:hAnsi="Arial" w:cs="Arial"/>
          <w:i/>
          <w:sz w:val="24"/>
          <w:szCs w:val="24"/>
        </w:rPr>
        <w:t xml:space="preserve">  </w:t>
      </w:r>
      <w:proofErr w:type="spellStart"/>
      <w:r w:rsidR="00A72331">
        <w:rPr>
          <w:rFonts w:ascii="Arial" w:hAnsi="Arial" w:cs="Arial"/>
          <w:sz w:val="24"/>
          <w:szCs w:val="24"/>
        </w:rPr>
        <w:t>Pring</w:t>
      </w:r>
      <w:proofErr w:type="spellEnd"/>
      <w:r w:rsidR="00A72331">
        <w:rPr>
          <w:rFonts w:ascii="Arial" w:hAnsi="Arial" w:cs="Arial"/>
          <w:sz w:val="24"/>
          <w:szCs w:val="24"/>
        </w:rPr>
        <w:t xml:space="preserve"> and </w:t>
      </w:r>
      <w:proofErr w:type="spellStart"/>
      <w:r w:rsidR="00A72331">
        <w:rPr>
          <w:rFonts w:ascii="Arial" w:hAnsi="Arial" w:cs="Arial"/>
          <w:sz w:val="24"/>
          <w:szCs w:val="24"/>
        </w:rPr>
        <w:t>Canan</w:t>
      </w:r>
      <w:proofErr w:type="spellEnd"/>
      <w:r w:rsidR="00A72331">
        <w:rPr>
          <w:rFonts w:ascii="Arial" w:hAnsi="Arial" w:cs="Arial"/>
          <w:sz w:val="24"/>
          <w:szCs w:val="24"/>
        </w:rPr>
        <w:t xml:space="preserve"> initially described the classic SLAPP lawsuit as a</w:t>
      </w:r>
      <w:r w:rsidR="003B64DE">
        <w:rPr>
          <w:rFonts w:ascii="Arial" w:hAnsi="Arial" w:cs="Arial"/>
          <w:sz w:val="24"/>
          <w:szCs w:val="24"/>
        </w:rPr>
        <w:t xml:space="preserve"> civil claim</w:t>
      </w:r>
      <w:r w:rsidR="00A72331">
        <w:rPr>
          <w:rFonts w:ascii="Arial" w:hAnsi="Arial" w:cs="Arial"/>
          <w:sz w:val="24"/>
          <w:szCs w:val="24"/>
        </w:rPr>
        <w:t xml:space="preserve"> targeting a </w:t>
      </w:r>
      <w:r w:rsidR="000D63DD">
        <w:rPr>
          <w:rFonts w:ascii="Arial" w:hAnsi="Arial" w:cs="Arial"/>
          <w:sz w:val="24"/>
          <w:szCs w:val="24"/>
        </w:rPr>
        <w:t>“</w:t>
      </w:r>
      <w:r w:rsidR="00A72331">
        <w:rPr>
          <w:rFonts w:ascii="Arial" w:hAnsi="Arial" w:cs="Arial"/>
          <w:sz w:val="24"/>
          <w:szCs w:val="24"/>
        </w:rPr>
        <w:t>non-government party</w:t>
      </w:r>
      <w:r w:rsidR="000D63DD">
        <w:rPr>
          <w:rFonts w:ascii="Arial" w:hAnsi="Arial" w:cs="Arial"/>
          <w:sz w:val="24"/>
          <w:szCs w:val="24"/>
        </w:rPr>
        <w:t>”</w:t>
      </w:r>
      <w:r w:rsidR="00A72331">
        <w:rPr>
          <w:rFonts w:ascii="Arial" w:hAnsi="Arial" w:cs="Arial"/>
          <w:sz w:val="24"/>
          <w:szCs w:val="24"/>
        </w:rPr>
        <w:t xml:space="preserve"> on an issue of considerable social importance involving local citizens who take a position on a particular public issue and express their v</w:t>
      </w:r>
      <w:r w:rsidR="00B01C93">
        <w:rPr>
          <w:rFonts w:ascii="Arial" w:hAnsi="Arial" w:cs="Arial"/>
          <w:sz w:val="24"/>
          <w:szCs w:val="24"/>
        </w:rPr>
        <w:t>i</w:t>
      </w:r>
      <w:r w:rsidR="00A72331">
        <w:rPr>
          <w:rFonts w:ascii="Arial" w:hAnsi="Arial" w:cs="Arial"/>
          <w:sz w:val="24"/>
          <w:szCs w:val="24"/>
        </w:rPr>
        <w:t>ews in the public arena</w:t>
      </w:r>
      <w:r w:rsidR="0001654B">
        <w:rPr>
          <w:rStyle w:val="FootnoteReference"/>
          <w:rFonts w:ascii="Arial" w:hAnsi="Arial" w:cs="Arial"/>
          <w:sz w:val="24"/>
          <w:szCs w:val="24"/>
        </w:rPr>
        <w:footnoteReference w:id="40"/>
      </w:r>
      <w:r w:rsidR="00A72331">
        <w:rPr>
          <w:rFonts w:ascii="Arial" w:hAnsi="Arial" w:cs="Arial"/>
          <w:sz w:val="24"/>
          <w:szCs w:val="24"/>
        </w:rPr>
        <w:t>.</w:t>
      </w:r>
      <w:r w:rsidR="00563184">
        <w:rPr>
          <w:rFonts w:ascii="Arial" w:hAnsi="Arial" w:cs="Arial"/>
          <w:sz w:val="24"/>
          <w:szCs w:val="24"/>
        </w:rPr>
        <w:t xml:space="preserve"> </w:t>
      </w:r>
      <w:r w:rsidR="000D63DD">
        <w:rPr>
          <w:rFonts w:ascii="Arial" w:hAnsi="Arial" w:cs="Arial"/>
          <w:sz w:val="24"/>
          <w:szCs w:val="24"/>
        </w:rPr>
        <w:t>SLAPP suits are st</w:t>
      </w:r>
      <w:r w:rsidR="00CC2DD7">
        <w:rPr>
          <w:rFonts w:ascii="Arial" w:hAnsi="Arial" w:cs="Arial"/>
          <w:sz w:val="24"/>
          <w:szCs w:val="24"/>
        </w:rPr>
        <w:t>ill a relatively new phenomenon in most jurisdictions.</w:t>
      </w:r>
      <w:r w:rsidR="00563184">
        <w:rPr>
          <w:rFonts w:ascii="Arial" w:hAnsi="Arial" w:cs="Arial"/>
          <w:sz w:val="24"/>
          <w:szCs w:val="24"/>
        </w:rPr>
        <w:t xml:space="preserve"> </w:t>
      </w:r>
      <w:r w:rsidR="008D538D">
        <w:rPr>
          <w:rFonts w:ascii="Arial" w:hAnsi="Arial" w:cs="Arial"/>
          <w:sz w:val="24"/>
          <w:szCs w:val="24"/>
        </w:rPr>
        <w:t>E</w:t>
      </w:r>
      <w:r w:rsidR="003A701C">
        <w:rPr>
          <w:rFonts w:ascii="Arial" w:hAnsi="Arial" w:cs="Arial"/>
          <w:sz w:val="24"/>
          <w:szCs w:val="24"/>
        </w:rPr>
        <w:t>ssentially</w:t>
      </w:r>
      <w:r w:rsidR="008D538D">
        <w:rPr>
          <w:rFonts w:ascii="Arial" w:hAnsi="Arial" w:cs="Arial"/>
          <w:sz w:val="24"/>
          <w:szCs w:val="24"/>
        </w:rPr>
        <w:t xml:space="preserve"> its</w:t>
      </w:r>
      <w:r w:rsidR="003A701C">
        <w:rPr>
          <w:rFonts w:ascii="Arial" w:hAnsi="Arial" w:cs="Arial"/>
          <w:sz w:val="24"/>
          <w:szCs w:val="24"/>
        </w:rPr>
        <w:t xml:space="preserve"> aim </w:t>
      </w:r>
      <w:r w:rsidR="008D538D">
        <w:rPr>
          <w:rFonts w:ascii="Arial" w:hAnsi="Arial" w:cs="Arial"/>
          <w:sz w:val="24"/>
          <w:szCs w:val="24"/>
        </w:rPr>
        <w:t xml:space="preserve">is </w:t>
      </w:r>
      <w:r w:rsidR="003A701C">
        <w:rPr>
          <w:rFonts w:ascii="Arial" w:hAnsi="Arial" w:cs="Arial"/>
          <w:sz w:val="24"/>
          <w:szCs w:val="24"/>
        </w:rPr>
        <w:t>t</w:t>
      </w:r>
      <w:r w:rsidR="008D538D">
        <w:rPr>
          <w:rFonts w:ascii="Arial" w:hAnsi="Arial" w:cs="Arial"/>
          <w:sz w:val="24"/>
          <w:szCs w:val="24"/>
        </w:rPr>
        <w:t xml:space="preserve">o silence those challenging </w:t>
      </w:r>
      <w:r w:rsidR="003A701C">
        <w:rPr>
          <w:rFonts w:ascii="Arial" w:hAnsi="Arial" w:cs="Arial"/>
          <w:sz w:val="24"/>
          <w:szCs w:val="24"/>
        </w:rPr>
        <w:t xml:space="preserve">powerful </w:t>
      </w:r>
      <w:r w:rsidR="008D538D">
        <w:rPr>
          <w:rFonts w:ascii="Arial" w:hAnsi="Arial" w:cs="Arial"/>
          <w:sz w:val="24"/>
          <w:szCs w:val="24"/>
        </w:rPr>
        <w:t xml:space="preserve">corporates </w:t>
      </w:r>
      <w:r w:rsidR="003A701C">
        <w:rPr>
          <w:rFonts w:ascii="Arial" w:hAnsi="Arial" w:cs="Arial"/>
          <w:sz w:val="24"/>
          <w:szCs w:val="24"/>
        </w:rPr>
        <w:lastRenderedPageBreak/>
        <w:t xml:space="preserve">on issues of public concern. </w:t>
      </w:r>
      <w:r w:rsidR="008D538D">
        <w:rPr>
          <w:rFonts w:ascii="Arial" w:hAnsi="Arial" w:cs="Arial"/>
          <w:sz w:val="24"/>
          <w:szCs w:val="24"/>
        </w:rPr>
        <w:t>In essence t</w:t>
      </w:r>
      <w:r w:rsidR="00563184">
        <w:rPr>
          <w:rFonts w:ascii="Arial" w:hAnsi="Arial" w:cs="Arial"/>
          <w:sz w:val="24"/>
          <w:szCs w:val="24"/>
        </w:rPr>
        <w:t>he main purpose of the suit is to punish or retaliate against citizens who have s</w:t>
      </w:r>
      <w:r w:rsidR="00BF4312">
        <w:rPr>
          <w:rFonts w:ascii="Arial" w:hAnsi="Arial" w:cs="Arial"/>
          <w:sz w:val="24"/>
          <w:szCs w:val="24"/>
        </w:rPr>
        <w:t xml:space="preserve">poken out against the </w:t>
      </w:r>
      <w:r w:rsidR="002738EE">
        <w:rPr>
          <w:rFonts w:ascii="Arial" w:hAnsi="Arial" w:cs="Arial"/>
          <w:sz w:val="24"/>
          <w:szCs w:val="24"/>
        </w:rPr>
        <w:t>plaintiff</w:t>
      </w:r>
      <w:r w:rsidR="00BF4312">
        <w:rPr>
          <w:rFonts w:ascii="Arial" w:hAnsi="Arial" w:cs="Arial"/>
          <w:sz w:val="24"/>
          <w:szCs w:val="24"/>
        </w:rPr>
        <w:t>s</w:t>
      </w:r>
      <w:r w:rsidR="00490106">
        <w:rPr>
          <w:rStyle w:val="FootnoteReference"/>
          <w:rFonts w:ascii="Arial" w:hAnsi="Arial" w:cs="Arial"/>
          <w:sz w:val="24"/>
          <w:szCs w:val="24"/>
        </w:rPr>
        <w:footnoteReference w:id="41"/>
      </w:r>
      <w:r w:rsidR="00BF4312">
        <w:rPr>
          <w:rFonts w:ascii="Arial" w:hAnsi="Arial" w:cs="Arial"/>
          <w:sz w:val="24"/>
          <w:szCs w:val="24"/>
        </w:rPr>
        <w:t>.</w:t>
      </w:r>
      <w:r w:rsidR="00A72331">
        <w:rPr>
          <w:rFonts w:ascii="Arial" w:hAnsi="Arial" w:cs="Arial"/>
          <w:sz w:val="24"/>
          <w:szCs w:val="24"/>
        </w:rPr>
        <w:t xml:space="preserve"> </w:t>
      </w:r>
      <w:r w:rsidR="003B64DE">
        <w:rPr>
          <w:rFonts w:ascii="Arial" w:hAnsi="Arial" w:cs="Arial"/>
          <w:sz w:val="24"/>
          <w:szCs w:val="24"/>
        </w:rPr>
        <w:t xml:space="preserve"> </w:t>
      </w:r>
    </w:p>
    <w:p w14:paraId="2F385EEA" w14:textId="77777777" w:rsidR="003300EA" w:rsidRDefault="003300EA" w:rsidP="000B04D1">
      <w:pPr>
        <w:pStyle w:val="ListParagraph"/>
        <w:spacing w:line="240" w:lineRule="auto"/>
        <w:ind w:left="0"/>
        <w:jc w:val="both"/>
        <w:rPr>
          <w:rFonts w:ascii="Arial" w:hAnsi="Arial" w:cs="Arial"/>
          <w:sz w:val="24"/>
          <w:szCs w:val="24"/>
        </w:rPr>
      </w:pPr>
    </w:p>
    <w:p w14:paraId="209DF487" w14:textId="77777777" w:rsidR="003B64DE" w:rsidRDefault="00B913EB" w:rsidP="003300EA">
      <w:pPr>
        <w:pStyle w:val="ListParagraph"/>
        <w:spacing w:line="480" w:lineRule="auto"/>
        <w:ind w:left="0"/>
        <w:jc w:val="both"/>
        <w:rPr>
          <w:rFonts w:ascii="Arial" w:hAnsi="Arial" w:cs="Arial"/>
          <w:sz w:val="24"/>
          <w:szCs w:val="24"/>
        </w:rPr>
      </w:pPr>
      <w:r>
        <w:rPr>
          <w:rFonts w:ascii="Arial" w:hAnsi="Arial" w:cs="Arial"/>
          <w:sz w:val="24"/>
          <w:szCs w:val="24"/>
        </w:rPr>
        <w:t>[40</w:t>
      </w:r>
      <w:r w:rsidR="003300EA">
        <w:rPr>
          <w:rFonts w:ascii="Arial" w:hAnsi="Arial" w:cs="Arial"/>
          <w:sz w:val="24"/>
          <w:szCs w:val="24"/>
        </w:rPr>
        <w:t>]</w:t>
      </w:r>
      <w:r w:rsidR="003300EA">
        <w:rPr>
          <w:rFonts w:ascii="Arial" w:hAnsi="Arial" w:cs="Arial"/>
          <w:sz w:val="24"/>
          <w:szCs w:val="24"/>
        </w:rPr>
        <w:tab/>
      </w:r>
      <w:r w:rsidR="003B64DE">
        <w:rPr>
          <w:rFonts w:ascii="Arial" w:hAnsi="Arial" w:cs="Arial"/>
          <w:sz w:val="24"/>
          <w:szCs w:val="24"/>
        </w:rPr>
        <w:t xml:space="preserve">The signature elements of </w:t>
      </w:r>
      <w:r w:rsidR="00FF5CFD">
        <w:rPr>
          <w:rFonts w:ascii="Arial" w:hAnsi="Arial" w:cs="Arial"/>
          <w:sz w:val="24"/>
          <w:szCs w:val="24"/>
        </w:rPr>
        <w:t>SLAPP</w:t>
      </w:r>
      <w:r w:rsidR="004739AF">
        <w:rPr>
          <w:rFonts w:ascii="Arial" w:hAnsi="Arial" w:cs="Arial"/>
          <w:sz w:val="24"/>
          <w:szCs w:val="24"/>
        </w:rPr>
        <w:t xml:space="preserve"> cases is</w:t>
      </w:r>
      <w:r w:rsidR="003B64DE">
        <w:rPr>
          <w:rFonts w:ascii="Arial" w:hAnsi="Arial" w:cs="Arial"/>
          <w:sz w:val="24"/>
          <w:szCs w:val="24"/>
        </w:rPr>
        <w:t xml:space="preserve"> the use of the legal system, usually</w:t>
      </w:r>
    </w:p>
    <w:p w14:paraId="66BA9763" w14:textId="77777777" w:rsidR="00345158" w:rsidRDefault="003B64DE" w:rsidP="00345158">
      <w:pPr>
        <w:pStyle w:val="ListParagraph"/>
        <w:spacing w:line="480" w:lineRule="auto"/>
        <w:ind w:left="0"/>
        <w:jc w:val="both"/>
        <w:rPr>
          <w:rFonts w:ascii="Arial" w:hAnsi="Arial" w:cs="Arial"/>
          <w:sz w:val="24"/>
          <w:szCs w:val="24"/>
        </w:rPr>
      </w:pPr>
      <w:r>
        <w:rPr>
          <w:rFonts w:ascii="Arial" w:hAnsi="Arial" w:cs="Arial"/>
          <w:sz w:val="24"/>
          <w:szCs w:val="24"/>
        </w:rPr>
        <w:t xml:space="preserve">disguised as an ordinary civil claim, </w:t>
      </w:r>
      <w:r w:rsidR="004739AF">
        <w:rPr>
          <w:rFonts w:ascii="Arial" w:hAnsi="Arial" w:cs="Arial"/>
          <w:sz w:val="24"/>
          <w:szCs w:val="24"/>
        </w:rPr>
        <w:t xml:space="preserve">designed </w:t>
      </w:r>
      <w:r>
        <w:rPr>
          <w:rFonts w:ascii="Arial" w:hAnsi="Arial" w:cs="Arial"/>
          <w:sz w:val="24"/>
          <w:szCs w:val="24"/>
        </w:rPr>
        <w:t>to discourage others from speaking</w:t>
      </w:r>
      <w:r w:rsidR="000D63DD">
        <w:rPr>
          <w:rFonts w:ascii="Arial" w:hAnsi="Arial" w:cs="Arial"/>
          <w:sz w:val="24"/>
          <w:szCs w:val="24"/>
        </w:rPr>
        <w:t xml:space="preserve"> on issues of public importance and</w:t>
      </w:r>
      <w:r>
        <w:rPr>
          <w:rFonts w:ascii="Arial" w:hAnsi="Arial" w:cs="Arial"/>
          <w:sz w:val="24"/>
          <w:szCs w:val="24"/>
        </w:rPr>
        <w:t xml:space="preserve"> exploiting the inequality of finances and human resources available to large corporations compared to the targets.</w:t>
      </w:r>
      <w:r w:rsidR="005674AA">
        <w:rPr>
          <w:rFonts w:ascii="Arial" w:hAnsi="Arial" w:cs="Arial"/>
          <w:sz w:val="24"/>
          <w:szCs w:val="24"/>
        </w:rPr>
        <w:t xml:space="preserve"> </w:t>
      </w:r>
      <w:r w:rsidR="00345158">
        <w:rPr>
          <w:rFonts w:ascii="Arial" w:hAnsi="Arial" w:cs="Arial"/>
          <w:sz w:val="24"/>
          <w:szCs w:val="24"/>
        </w:rPr>
        <w:t>These lawsuits are notoriously</w:t>
      </w:r>
      <w:r w:rsidR="004739AF">
        <w:rPr>
          <w:rFonts w:ascii="Arial" w:hAnsi="Arial" w:cs="Arial"/>
          <w:sz w:val="24"/>
          <w:szCs w:val="24"/>
        </w:rPr>
        <w:t>,</w:t>
      </w:r>
      <w:r w:rsidR="00345158">
        <w:rPr>
          <w:rFonts w:ascii="Arial" w:hAnsi="Arial" w:cs="Arial"/>
          <w:sz w:val="24"/>
          <w:szCs w:val="24"/>
        </w:rPr>
        <w:t xml:space="preserve"> long drawn out</w:t>
      </w:r>
      <w:r w:rsidR="004739AF">
        <w:rPr>
          <w:rFonts w:ascii="Arial" w:hAnsi="Arial" w:cs="Arial"/>
          <w:sz w:val="24"/>
          <w:szCs w:val="24"/>
        </w:rPr>
        <w:t>,</w:t>
      </w:r>
      <w:r w:rsidR="00345158">
        <w:rPr>
          <w:rFonts w:ascii="Arial" w:hAnsi="Arial" w:cs="Arial"/>
          <w:sz w:val="24"/>
          <w:szCs w:val="24"/>
        </w:rPr>
        <w:t xml:space="preserve"> and extremely expensive legal battles, </w:t>
      </w:r>
      <w:r w:rsidR="004739AF">
        <w:rPr>
          <w:rFonts w:ascii="Arial" w:hAnsi="Arial" w:cs="Arial"/>
          <w:sz w:val="24"/>
          <w:szCs w:val="24"/>
        </w:rPr>
        <w:t>which consume</w:t>
      </w:r>
      <w:r w:rsidR="00345158">
        <w:rPr>
          <w:rFonts w:ascii="Arial" w:hAnsi="Arial" w:cs="Arial"/>
          <w:sz w:val="24"/>
          <w:szCs w:val="24"/>
        </w:rPr>
        <w:t xml:space="preserve"> va</w:t>
      </w:r>
      <w:r w:rsidR="004739AF">
        <w:rPr>
          <w:rFonts w:ascii="Arial" w:hAnsi="Arial" w:cs="Arial"/>
          <w:sz w:val="24"/>
          <w:szCs w:val="24"/>
        </w:rPr>
        <w:t xml:space="preserve">st amounts of time, energy, </w:t>
      </w:r>
      <w:r w:rsidR="00345158">
        <w:rPr>
          <w:rFonts w:ascii="Arial" w:hAnsi="Arial" w:cs="Arial"/>
          <w:sz w:val="24"/>
          <w:szCs w:val="24"/>
        </w:rPr>
        <w:t>money</w:t>
      </w:r>
      <w:r w:rsidR="004739AF">
        <w:rPr>
          <w:rFonts w:ascii="Arial" w:hAnsi="Arial" w:cs="Arial"/>
          <w:sz w:val="24"/>
          <w:szCs w:val="24"/>
        </w:rPr>
        <w:t xml:space="preserve"> and resources</w:t>
      </w:r>
      <w:r w:rsidR="00345158">
        <w:rPr>
          <w:rFonts w:ascii="Arial" w:hAnsi="Arial" w:cs="Arial"/>
          <w:sz w:val="24"/>
          <w:szCs w:val="24"/>
        </w:rPr>
        <w:t xml:space="preserve">.  In essence, SLAPPs are designed to turn the justice system into a weapon to intimidate people who are exercising their constitutional rights, restrain public interest in advocacy and activism; and convert matters of public interest into technical private law disputes.  </w:t>
      </w:r>
    </w:p>
    <w:p w14:paraId="1F4EA196" w14:textId="77777777" w:rsidR="00345158" w:rsidRDefault="00345158" w:rsidP="008B3211">
      <w:pPr>
        <w:pStyle w:val="ListParagraph"/>
        <w:spacing w:line="480" w:lineRule="auto"/>
        <w:ind w:left="0"/>
        <w:jc w:val="both"/>
        <w:rPr>
          <w:rFonts w:ascii="Arial" w:hAnsi="Arial" w:cs="Arial"/>
          <w:sz w:val="24"/>
          <w:szCs w:val="24"/>
        </w:rPr>
      </w:pPr>
    </w:p>
    <w:p w14:paraId="2699AB32" w14:textId="77777777" w:rsidR="003D6F38" w:rsidRDefault="00B913EB" w:rsidP="008B3211">
      <w:pPr>
        <w:pStyle w:val="ListParagraph"/>
        <w:spacing w:line="480" w:lineRule="auto"/>
        <w:ind w:left="0"/>
        <w:jc w:val="both"/>
        <w:rPr>
          <w:rFonts w:ascii="Arial" w:hAnsi="Arial" w:cs="Arial"/>
          <w:sz w:val="24"/>
          <w:szCs w:val="24"/>
        </w:rPr>
      </w:pPr>
      <w:r>
        <w:rPr>
          <w:rFonts w:ascii="Arial" w:hAnsi="Arial" w:cs="Arial"/>
          <w:sz w:val="24"/>
          <w:szCs w:val="24"/>
        </w:rPr>
        <w:t>[41</w:t>
      </w:r>
      <w:r w:rsidR="00023ED6">
        <w:rPr>
          <w:rFonts w:ascii="Arial" w:hAnsi="Arial" w:cs="Arial"/>
          <w:sz w:val="24"/>
          <w:szCs w:val="24"/>
        </w:rPr>
        <w:t>]</w:t>
      </w:r>
      <w:r w:rsidR="00023ED6">
        <w:rPr>
          <w:rFonts w:ascii="Arial" w:hAnsi="Arial" w:cs="Arial"/>
          <w:sz w:val="24"/>
          <w:szCs w:val="24"/>
        </w:rPr>
        <w:tab/>
      </w:r>
      <w:r w:rsidR="003A701C">
        <w:rPr>
          <w:rFonts w:ascii="Arial" w:hAnsi="Arial" w:cs="Arial"/>
          <w:sz w:val="24"/>
          <w:szCs w:val="24"/>
        </w:rPr>
        <w:t>The person instituting the SLAPP generally have more resources to sustain litigation against their targets.</w:t>
      </w:r>
      <w:r w:rsidR="00345158" w:rsidRPr="00345158">
        <w:rPr>
          <w:rFonts w:ascii="Arial" w:hAnsi="Arial" w:cs="Arial"/>
          <w:sz w:val="24"/>
          <w:szCs w:val="24"/>
        </w:rPr>
        <w:t xml:space="preserve"> </w:t>
      </w:r>
      <w:r w:rsidR="00345158">
        <w:rPr>
          <w:rFonts w:ascii="Arial" w:hAnsi="Arial" w:cs="Arial"/>
          <w:sz w:val="24"/>
          <w:szCs w:val="24"/>
        </w:rPr>
        <w:t xml:space="preserve">The plaintiff is generally aware of its advantage, and may seek to protect business or economic interest. </w:t>
      </w:r>
      <w:r w:rsidR="003A701C">
        <w:rPr>
          <w:rFonts w:ascii="Arial" w:hAnsi="Arial" w:cs="Arial"/>
          <w:sz w:val="24"/>
          <w:szCs w:val="24"/>
        </w:rPr>
        <w:t xml:space="preserve"> </w:t>
      </w:r>
      <w:r w:rsidR="005674AA">
        <w:rPr>
          <w:rFonts w:ascii="Arial" w:hAnsi="Arial" w:cs="Arial"/>
          <w:sz w:val="24"/>
          <w:szCs w:val="24"/>
        </w:rPr>
        <w:t xml:space="preserve">Targets are typically individuals, local community groups, activists or non-profit organisations who are advancing a social interest of some significance.  </w:t>
      </w:r>
      <w:r w:rsidR="00852D30">
        <w:rPr>
          <w:rFonts w:ascii="Arial" w:hAnsi="Arial" w:cs="Arial"/>
          <w:sz w:val="24"/>
          <w:szCs w:val="24"/>
        </w:rPr>
        <w:t xml:space="preserve">Many targets </w:t>
      </w:r>
      <w:r w:rsidR="004739AF">
        <w:rPr>
          <w:rFonts w:ascii="Arial" w:hAnsi="Arial" w:cs="Arial"/>
          <w:sz w:val="24"/>
          <w:szCs w:val="24"/>
        </w:rPr>
        <w:t xml:space="preserve">often </w:t>
      </w:r>
      <w:r w:rsidR="00852D30">
        <w:rPr>
          <w:rFonts w:ascii="Arial" w:hAnsi="Arial" w:cs="Arial"/>
          <w:sz w:val="24"/>
          <w:szCs w:val="24"/>
        </w:rPr>
        <w:t>act without any personal profit or commercial advantage.</w:t>
      </w:r>
      <w:r w:rsidR="00803BDD">
        <w:rPr>
          <w:rFonts w:ascii="Arial" w:hAnsi="Arial" w:cs="Arial"/>
          <w:sz w:val="24"/>
          <w:szCs w:val="24"/>
        </w:rPr>
        <w:t xml:space="preserve"> In some </w:t>
      </w:r>
      <w:r w:rsidR="00FB353B">
        <w:rPr>
          <w:rFonts w:ascii="Arial" w:hAnsi="Arial" w:cs="Arial"/>
          <w:sz w:val="24"/>
          <w:szCs w:val="24"/>
        </w:rPr>
        <w:t>instances,</w:t>
      </w:r>
      <w:r w:rsidR="00803BDD">
        <w:rPr>
          <w:rFonts w:ascii="Arial" w:hAnsi="Arial" w:cs="Arial"/>
          <w:sz w:val="24"/>
          <w:szCs w:val="24"/>
        </w:rPr>
        <w:t xml:space="preserve"> the plaintiffs propose settlements which include a damages payment, an agreement to stop the activism that prompted the litigation, and an undertaking not to discuss the terms of the settlement.</w:t>
      </w:r>
    </w:p>
    <w:p w14:paraId="70495D60" w14:textId="77777777" w:rsidR="00345158" w:rsidRDefault="00345158" w:rsidP="008B3211">
      <w:pPr>
        <w:pStyle w:val="ListParagraph"/>
        <w:spacing w:line="480" w:lineRule="auto"/>
        <w:ind w:left="0"/>
        <w:jc w:val="both"/>
        <w:rPr>
          <w:rFonts w:ascii="Arial" w:hAnsi="Arial" w:cs="Arial"/>
          <w:sz w:val="24"/>
          <w:szCs w:val="24"/>
        </w:rPr>
      </w:pPr>
    </w:p>
    <w:p w14:paraId="49901F44" w14:textId="77777777" w:rsidR="003D6F38" w:rsidRDefault="00B913EB" w:rsidP="003A701C">
      <w:pPr>
        <w:spacing w:line="480" w:lineRule="auto"/>
        <w:jc w:val="both"/>
        <w:rPr>
          <w:rFonts w:ascii="Arial" w:hAnsi="Arial" w:cs="Arial"/>
          <w:sz w:val="24"/>
          <w:szCs w:val="24"/>
        </w:rPr>
      </w:pPr>
      <w:r>
        <w:rPr>
          <w:rFonts w:ascii="Arial" w:hAnsi="Arial" w:cs="Arial"/>
          <w:sz w:val="24"/>
          <w:szCs w:val="24"/>
        </w:rPr>
        <w:t>[42</w:t>
      </w:r>
      <w:r w:rsidR="003A701C">
        <w:rPr>
          <w:rFonts w:ascii="Arial" w:hAnsi="Arial" w:cs="Arial"/>
          <w:sz w:val="24"/>
          <w:szCs w:val="24"/>
        </w:rPr>
        <w:t>]</w:t>
      </w:r>
      <w:r w:rsidR="003A701C">
        <w:rPr>
          <w:rFonts w:ascii="Arial" w:hAnsi="Arial" w:cs="Arial"/>
          <w:sz w:val="24"/>
          <w:szCs w:val="24"/>
        </w:rPr>
        <w:tab/>
      </w:r>
      <w:r w:rsidR="003D6F38">
        <w:rPr>
          <w:rFonts w:ascii="Arial" w:hAnsi="Arial" w:cs="Arial"/>
          <w:sz w:val="24"/>
          <w:szCs w:val="24"/>
        </w:rPr>
        <w:t xml:space="preserve">Generally, exorbitant damages claims are part of the strategy chilling public participation and sending a clear message to activists that there are unaffordable </w:t>
      </w:r>
      <w:r w:rsidR="003D6F38">
        <w:rPr>
          <w:rFonts w:ascii="Arial" w:hAnsi="Arial" w:cs="Arial"/>
          <w:sz w:val="24"/>
          <w:szCs w:val="24"/>
        </w:rPr>
        <w:lastRenderedPageBreak/>
        <w:t>financial risks attached to pub</w:t>
      </w:r>
      <w:r w:rsidR="00490106">
        <w:rPr>
          <w:rFonts w:ascii="Arial" w:hAnsi="Arial" w:cs="Arial"/>
          <w:sz w:val="24"/>
          <w:szCs w:val="24"/>
        </w:rPr>
        <w:t>lic participation</w:t>
      </w:r>
      <w:r w:rsidR="00490106">
        <w:rPr>
          <w:rStyle w:val="FootnoteReference"/>
          <w:rFonts w:ascii="Arial" w:hAnsi="Arial" w:cs="Arial"/>
          <w:sz w:val="24"/>
          <w:szCs w:val="24"/>
        </w:rPr>
        <w:footnoteReference w:id="42"/>
      </w:r>
      <w:r w:rsidR="00490106">
        <w:rPr>
          <w:rFonts w:ascii="Arial" w:hAnsi="Arial" w:cs="Arial"/>
          <w:sz w:val="24"/>
          <w:szCs w:val="24"/>
        </w:rPr>
        <w:t xml:space="preserve">. </w:t>
      </w:r>
      <w:r w:rsidR="003D6F38">
        <w:rPr>
          <w:rFonts w:ascii="Arial" w:hAnsi="Arial" w:cs="Arial"/>
          <w:sz w:val="24"/>
          <w:szCs w:val="24"/>
        </w:rPr>
        <w:t xml:space="preserve">The emotional and financial harm caused by the SLAPP may result in the withdrawal from actions involving public participation. </w:t>
      </w:r>
      <w:r w:rsidR="003A701C">
        <w:rPr>
          <w:rFonts w:ascii="Arial" w:hAnsi="Arial" w:cs="Arial"/>
          <w:sz w:val="24"/>
          <w:szCs w:val="24"/>
        </w:rPr>
        <w:t xml:space="preserve">For this </w:t>
      </w:r>
      <w:r w:rsidR="00840892">
        <w:rPr>
          <w:rFonts w:ascii="Arial" w:hAnsi="Arial" w:cs="Arial"/>
          <w:sz w:val="24"/>
          <w:szCs w:val="24"/>
        </w:rPr>
        <w:t>reason,</w:t>
      </w:r>
      <w:r w:rsidR="003A701C">
        <w:rPr>
          <w:rFonts w:ascii="Arial" w:hAnsi="Arial" w:cs="Arial"/>
          <w:sz w:val="24"/>
          <w:szCs w:val="24"/>
        </w:rPr>
        <w:t xml:space="preserve"> some jurisdictions prefer not to focus on the elements of the legal action in the SLAPP, but rather on the effect of public participation. </w:t>
      </w:r>
      <w:r w:rsidR="003D6F38">
        <w:rPr>
          <w:rFonts w:ascii="Arial" w:hAnsi="Arial" w:cs="Arial"/>
          <w:sz w:val="24"/>
          <w:szCs w:val="24"/>
        </w:rPr>
        <w:t xml:space="preserve"> </w:t>
      </w:r>
    </w:p>
    <w:p w14:paraId="390C430E" w14:textId="77777777" w:rsidR="008B3211" w:rsidRDefault="008B3211" w:rsidP="008B3211">
      <w:pPr>
        <w:pStyle w:val="ListParagraph"/>
        <w:spacing w:line="240" w:lineRule="auto"/>
        <w:ind w:left="0"/>
        <w:jc w:val="both"/>
        <w:rPr>
          <w:rFonts w:ascii="Arial" w:hAnsi="Arial" w:cs="Arial"/>
          <w:sz w:val="24"/>
          <w:szCs w:val="24"/>
        </w:rPr>
      </w:pPr>
    </w:p>
    <w:p w14:paraId="26753147" w14:textId="77777777" w:rsidR="00546927" w:rsidRDefault="00B913EB" w:rsidP="009164D6">
      <w:pPr>
        <w:pStyle w:val="ListParagraph"/>
        <w:spacing w:line="480" w:lineRule="auto"/>
        <w:ind w:left="0"/>
        <w:jc w:val="both"/>
        <w:rPr>
          <w:rFonts w:ascii="Arial" w:hAnsi="Arial" w:cs="Arial"/>
          <w:sz w:val="24"/>
          <w:szCs w:val="24"/>
        </w:rPr>
      </w:pPr>
      <w:r>
        <w:rPr>
          <w:rFonts w:ascii="Arial" w:hAnsi="Arial" w:cs="Arial"/>
          <w:sz w:val="24"/>
          <w:szCs w:val="24"/>
        </w:rPr>
        <w:t>[43</w:t>
      </w:r>
      <w:r w:rsidR="008B3211">
        <w:rPr>
          <w:rFonts w:ascii="Arial" w:hAnsi="Arial" w:cs="Arial"/>
          <w:sz w:val="24"/>
          <w:szCs w:val="24"/>
        </w:rPr>
        <w:t>]</w:t>
      </w:r>
      <w:r w:rsidR="008B3211">
        <w:rPr>
          <w:rFonts w:ascii="Arial" w:hAnsi="Arial" w:cs="Arial"/>
          <w:sz w:val="24"/>
          <w:szCs w:val="24"/>
        </w:rPr>
        <w:tab/>
        <w:t xml:space="preserve">A SLAPP does not need to be successful in court to have its intended effect. </w:t>
      </w:r>
      <w:r w:rsidR="000D63DD">
        <w:rPr>
          <w:rFonts w:ascii="Arial" w:hAnsi="Arial" w:cs="Arial"/>
          <w:sz w:val="24"/>
          <w:szCs w:val="24"/>
        </w:rPr>
        <w:t xml:space="preserve">Proceedings can be continued until the desired effect </w:t>
      </w:r>
      <w:r w:rsidR="004739AF">
        <w:rPr>
          <w:rFonts w:ascii="Arial" w:hAnsi="Arial" w:cs="Arial"/>
          <w:sz w:val="24"/>
          <w:szCs w:val="24"/>
        </w:rPr>
        <w:t xml:space="preserve">and impact </w:t>
      </w:r>
      <w:r w:rsidR="000D63DD">
        <w:rPr>
          <w:rFonts w:ascii="Arial" w:hAnsi="Arial" w:cs="Arial"/>
          <w:sz w:val="24"/>
          <w:szCs w:val="24"/>
        </w:rPr>
        <w:t xml:space="preserve">is achieved. </w:t>
      </w:r>
      <w:r w:rsidR="004739AF">
        <w:rPr>
          <w:rFonts w:ascii="Arial" w:hAnsi="Arial" w:cs="Arial"/>
          <w:sz w:val="24"/>
          <w:szCs w:val="24"/>
        </w:rPr>
        <w:t xml:space="preserve">Prolonging and </w:t>
      </w:r>
      <w:r w:rsidR="00FB353B">
        <w:rPr>
          <w:rFonts w:ascii="Arial" w:hAnsi="Arial" w:cs="Arial"/>
          <w:sz w:val="24"/>
          <w:szCs w:val="24"/>
        </w:rPr>
        <w:t>d</w:t>
      </w:r>
      <w:r w:rsidR="000D63DD">
        <w:rPr>
          <w:rFonts w:ascii="Arial" w:hAnsi="Arial" w:cs="Arial"/>
          <w:sz w:val="24"/>
          <w:szCs w:val="24"/>
        </w:rPr>
        <w:t>ra</w:t>
      </w:r>
      <w:r w:rsidR="004739AF">
        <w:rPr>
          <w:rFonts w:ascii="Arial" w:hAnsi="Arial" w:cs="Arial"/>
          <w:sz w:val="24"/>
          <w:szCs w:val="24"/>
        </w:rPr>
        <w:t>gging out proceedings and shifting</w:t>
      </w:r>
      <w:r w:rsidR="000D63DD">
        <w:rPr>
          <w:rFonts w:ascii="Arial" w:hAnsi="Arial" w:cs="Arial"/>
          <w:sz w:val="24"/>
          <w:szCs w:val="24"/>
        </w:rPr>
        <w:t xml:space="preserve"> the debate out of the public domain to the courts can fulfil the intended objective.</w:t>
      </w:r>
      <w:r w:rsidR="00345158">
        <w:rPr>
          <w:rFonts w:ascii="Arial" w:hAnsi="Arial" w:cs="Arial"/>
          <w:sz w:val="24"/>
          <w:szCs w:val="24"/>
        </w:rPr>
        <w:t xml:space="preserve"> </w:t>
      </w:r>
      <w:r w:rsidR="008B3211">
        <w:rPr>
          <w:rFonts w:ascii="Arial" w:hAnsi="Arial" w:cs="Arial"/>
          <w:sz w:val="24"/>
          <w:szCs w:val="24"/>
        </w:rPr>
        <w:t xml:space="preserve">The mere threat of being sued is sometimes sufficient to engender fear and intimidate the target.  </w:t>
      </w:r>
    </w:p>
    <w:p w14:paraId="78F02551" w14:textId="77777777" w:rsidR="00783D15" w:rsidRDefault="00783D15" w:rsidP="004F5AF5">
      <w:pPr>
        <w:pStyle w:val="ListParagraph"/>
        <w:spacing w:line="240" w:lineRule="auto"/>
        <w:ind w:left="0"/>
        <w:jc w:val="both"/>
        <w:rPr>
          <w:rFonts w:ascii="Arial" w:hAnsi="Arial" w:cs="Arial"/>
          <w:sz w:val="24"/>
          <w:szCs w:val="24"/>
        </w:rPr>
      </w:pPr>
    </w:p>
    <w:p w14:paraId="2FD47AEE" w14:textId="77777777" w:rsidR="00202523" w:rsidRDefault="00C22551" w:rsidP="00E776FC">
      <w:pPr>
        <w:pStyle w:val="ListParagraph"/>
        <w:spacing w:line="480" w:lineRule="auto"/>
        <w:ind w:left="0"/>
        <w:jc w:val="both"/>
        <w:rPr>
          <w:rFonts w:ascii="Arial" w:hAnsi="Arial" w:cs="Arial"/>
          <w:sz w:val="24"/>
          <w:szCs w:val="24"/>
        </w:rPr>
      </w:pPr>
      <w:r>
        <w:rPr>
          <w:rFonts w:ascii="Arial" w:hAnsi="Arial" w:cs="Arial"/>
          <w:sz w:val="24"/>
          <w:szCs w:val="24"/>
        </w:rPr>
        <w:t xml:space="preserve"> </w:t>
      </w:r>
      <w:r w:rsidR="00B913EB">
        <w:rPr>
          <w:rFonts w:ascii="Arial" w:hAnsi="Arial" w:cs="Arial"/>
          <w:sz w:val="24"/>
          <w:szCs w:val="24"/>
        </w:rPr>
        <w:t>[44</w:t>
      </w:r>
      <w:r w:rsidR="00C45DA0">
        <w:rPr>
          <w:rFonts w:ascii="Arial" w:hAnsi="Arial" w:cs="Arial"/>
          <w:sz w:val="24"/>
          <w:szCs w:val="24"/>
        </w:rPr>
        <w:t xml:space="preserve">] </w:t>
      </w:r>
      <w:r w:rsidR="00C45DA0">
        <w:rPr>
          <w:rFonts w:ascii="Arial" w:hAnsi="Arial" w:cs="Arial"/>
          <w:sz w:val="24"/>
          <w:szCs w:val="24"/>
        </w:rPr>
        <w:tab/>
      </w:r>
      <w:r w:rsidR="00345158">
        <w:rPr>
          <w:rFonts w:ascii="Arial" w:hAnsi="Arial" w:cs="Arial"/>
          <w:sz w:val="24"/>
          <w:szCs w:val="24"/>
        </w:rPr>
        <w:t xml:space="preserve">The phenomena of SLAPP </w:t>
      </w:r>
      <w:r w:rsidR="004739AF">
        <w:rPr>
          <w:rFonts w:ascii="Arial" w:hAnsi="Arial" w:cs="Arial"/>
          <w:sz w:val="24"/>
          <w:szCs w:val="24"/>
        </w:rPr>
        <w:t>suits originated</w:t>
      </w:r>
      <w:r w:rsidR="005A608F">
        <w:rPr>
          <w:rFonts w:ascii="Arial" w:hAnsi="Arial" w:cs="Arial"/>
          <w:sz w:val="24"/>
          <w:szCs w:val="24"/>
        </w:rPr>
        <w:t xml:space="preserve"> in the United States during the 1980s and has been adopted in a numbe</w:t>
      </w:r>
      <w:r w:rsidR="00CA494D">
        <w:rPr>
          <w:rFonts w:ascii="Arial" w:hAnsi="Arial" w:cs="Arial"/>
          <w:sz w:val="24"/>
          <w:szCs w:val="24"/>
        </w:rPr>
        <w:t>r of comparative jurisdictions</w:t>
      </w:r>
      <w:r w:rsidR="005A608F">
        <w:rPr>
          <w:rFonts w:ascii="Arial" w:hAnsi="Arial" w:cs="Arial"/>
          <w:sz w:val="24"/>
          <w:szCs w:val="24"/>
        </w:rPr>
        <w:t xml:space="preserve">. </w:t>
      </w:r>
      <w:r w:rsidR="00202523">
        <w:rPr>
          <w:rFonts w:ascii="Arial" w:hAnsi="Arial" w:cs="Arial"/>
          <w:sz w:val="24"/>
          <w:szCs w:val="24"/>
        </w:rPr>
        <w:t xml:space="preserve">Significantly, anti-SLAPP laws had initially developed primarily from the environmental law context. </w:t>
      </w:r>
      <w:r w:rsidR="00E573F1">
        <w:rPr>
          <w:rFonts w:ascii="Arial" w:hAnsi="Arial" w:cs="Arial"/>
          <w:sz w:val="24"/>
          <w:szCs w:val="24"/>
        </w:rPr>
        <w:t>As at 30 January 2021 there are currently</w:t>
      </w:r>
      <w:r w:rsidR="00E573F1" w:rsidRPr="00FB353B">
        <w:rPr>
          <w:rFonts w:ascii="Arial" w:hAnsi="Arial" w:cs="Arial"/>
          <w:sz w:val="24"/>
          <w:szCs w:val="24"/>
        </w:rPr>
        <w:t xml:space="preserve"> </w:t>
      </w:r>
      <w:r w:rsidR="00E770E9" w:rsidRPr="00FB353B">
        <w:rPr>
          <w:rFonts w:ascii="Arial" w:hAnsi="Arial" w:cs="Arial"/>
          <w:sz w:val="24"/>
          <w:szCs w:val="24"/>
        </w:rPr>
        <w:t>30</w:t>
      </w:r>
      <w:r w:rsidR="00E573F1">
        <w:rPr>
          <w:rFonts w:ascii="Arial" w:hAnsi="Arial" w:cs="Arial"/>
          <w:sz w:val="24"/>
          <w:szCs w:val="24"/>
        </w:rPr>
        <w:t xml:space="preserve"> States in the United States</w:t>
      </w:r>
      <w:r w:rsidR="009B2008">
        <w:rPr>
          <w:rStyle w:val="FootnoteReference"/>
          <w:rFonts w:ascii="Arial" w:hAnsi="Arial" w:cs="Arial"/>
          <w:sz w:val="24"/>
          <w:szCs w:val="24"/>
        </w:rPr>
        <w:footnoteReference w:id="43"/>
      </w:r>
      <w:r w:rsidR="00E573F1">
        <w:rPr>
          <w:rFonts w:ascii="Arial" w:hAnsi="Arial" w:cs="Arial"/>
          <w:sz w:val="24"/>
          <w:szCs w:val="24"/>
        </w:rPr>
        <w:t xml:space="preserve"> that adopted some form of legislation to </w:t>
      </w:r>
      <w:r w:rsidR="002C4D13">
        <w:rPr>
          <w:rFonts w:ascii="Arial" w:hAnsi="Arial" w:cs="Arial"/>
          <w:sz w:val="24"/>
          <w:szCs w:val="24"/>
        </w:rPr>
        <w:t xml:space="preserve">identify and </w:t>
      </w:r>
      <w:r w:rsidR="00E573F1">
        <w:rPr>
          <w:rFonts w:ascii="Arial" w:hAnsi="Arial" w:cs="Arial"/>
          <w:sz w:val="24"/>
          <w:szCs w:val="24"/>
        </w:rPr>
        <w:t>counter the prevalence of SLAPP suit litigation</w:t>
      </w:r>
      <w:r w:rsidR="001D2F6E">
        <w:rPr>
          <w:rFonts w:ascii="Arial" w:hAnsi="Arial" w:cs="Arial"/>
          <w:sz w:val="24"/>
          <w:szCs w:val="24"/>
        </w:rPr>
        <w:t>.</w:t>
      </w:r>
      <w:r w:rsidR="00E573F1">
        <w:rPr>
          <w:rFonts w:ascii="Arial" w:hAnsi="Arial" w:cs="Arial"/>
          <w:sz w:val="24"/>
          <w:szCs w:val="24"/>
        </w:rPr>
        <w:t xml:space="preserve">  </w:t>
      </w:r>
      <w:r w:rsidR="00202523">
        <w:rPr>
          <w:rFonts w:ascii="Arial" w:hAnsi="Arial" w:cs="Arial"/>
          <w:sz w:val="24"/>
          <w:szCs w:val="24"/>
        </w:rPr>
        <w:t>Certain provinces in Canada</w:t>
      </w:r>
      <w:r w:rsidR="005E405A">
        <w:rPr>
          <w:rStyle w:val="FootnoteReference"/>
          <w:rFonts w:ascii="Arial" w:hAnsi="Arial" w:cs="Arial"/>
          <w:sz w:val="24"/>
          <w:szCs w:val="24"/>
        </w:rPr>
        <w:footnoteReference w:id="44"/>
      </w:r>
      <w:r w:rsidR="00202523">
        <w:rPr>
          <w:rFonts w:ascii="Arial" w:hAnsi="Arial" w:cs="Arial"/>
          <w:sz w:val="24"/>
          <w:szCs w:val="24"/>
        </w:rPr>
        <w:t xml:space="preserve"> and territories in Australia</w:t>
      </w:r>
      <w:r w:rsidR="005E405A">
        <w:rPr>
          <w:rStyle w:val="FootnoteReference"/>
          <w:rFonts w:ascii="Arial" w:hAnsi="Arial" w:cs="Arial"/>
          <w:sz w:val="24"/>
          <w:szCs w:val="24"/>
        </w:rPr>
        <w:footnoteReference w:id="45"/>
      </w:r>
      <w:r w:rsidR="00202523">
        <w:rPr>
          <w:rFonts w:ascii="Arial" w:hAnsi="Arial" w:cs="Arial"/>
          <w:sz w:val="24"/>
          <w:szCs w:val="24"/>
        </w:rPr>
        <w:t xml:space="preserve"> also have some form of legislation to counter the prevalence of SLAPP suit litigation. </w:t>
      </w:r>
    </w:p>
    <w:p w14:paraId="057CC286" w14:textId="77777777" w:rsidR="009164D6" w:rsidRDefault="009164D6" w:rsidP="00E776FC">
      <w:pPr>
        <w:pStyle w:val="ListParagraph"/>
        <w:spacing w:line="480" w:lineRule="auto"/>
        <w:ind w:left="0"/>
        <w:jc w:val="both"/>
        <w:rPr>
          <w:rFonts w:ascii="Arial" w:hAnsi="Arial" w:cs="Arial"/>
          <w:sz w:val="24"/>
          <w:szCs w:val="24"/>
        </w:rPr>
      </w:pPr>
    </w:p>
    <w:p w14:paraId="1E3F3BCA" w14:textId="77777777" w:rsidR="00876CD4" w:rsidRDefault="00B913EB" w:rsidP="00876CD4">
      <w:pPr>
        <w:pStyle w:val="ListParagraph"/>
        <w:spacing w:line="480" w:lineRule="auto"/>
        <w:ind w:left="0"/>
        <w:jc w:val="both"/>
        <w:rPr>
          <w:rFonts w:ascii="Arial" w:hAnsi="Arial" w:cs="Arial"/>
          <w:sz w:val="24"/>
          <w:szCs w:val="24"/>
        </w:rPr>
      </w:pPr>
      <w:r>
        <w:rPr>
          <w:rFonts w:ascii="Arial" w:hAnsi="Arial" w:cs="Arial"/>
          <w:sz w:val="24"/>
          <w:szCs w:val="24"/>
        </w:rPr>
        <w:t>[45</w:t>
      </w:r>
      <w:r w:rsidR="00023ED6">
        <w:rPr>
          <w:rFonts w:ascii="Arial" w:hAnsi="Arial" w:cs="Arial"/>
          <w:sz w:val="24"/>
          <w:szCs w:val="24"/>
        </w:rPr>
        <w:t>]</w:t>
      </w:r>
      <w:r w:rsidR="00023ED6">
        <w:rPr>
          <w:rFonts w:ascii="Arial" w:hAnsi="Arial" w:cs="Arial"/>
          <w:sz w:val="24"/>
          <w:szCs w:val="24"/>
        </w:rPr>
        <w:tab/>
      </w:r>
      <w:r w:rsidR="001F501D">
        <w:rPr>
          <w:rFonts w:ascii="Arial" w:hAnsi="Arial" w:cs="Arial"/>
          <w:sz w:val="24"/>
          <w:szCs w:val="24"/>
        </w:rPr>
        <w:t xml:space="preserve">SLAPPs violate American constitutional protection of the right of free speech and the right to petition, which are the usual grounds for defence against SLAPPs. </w:t>
      </w:r>
      <w:r w:rsidR="00202523">
        <w:rPr>
          <w:rFonts w:ascii="Arial" w:hAnsi="Arial" w:cs="Arial"/>
          <w:sz w:val="24"/>
          <w:szCs w:val="24"/>
        </w:rPr>
        <w:t xml:space="preserve">Anti-SLAPP statutes are aimed at providing a quick, effective and inexpensive </w:t>
      </w:r>
      <w:r w:rsidR="00202523">
        <w:rPr>
          <w:rFonts w:ascii="Arial" w:hAnsi="Arial" w:cs="Arial"/>
          <w:sz w:val="24"/>
          <w:szCs w:val="24"/>
        </w:rPr>
        <w:lastRenderedPageBreak/>
        <w:t xml:space="preserve">mechanism to discourage such suits.  It authorises expedited procedures to address such suits, prevent the incursion of </w:t>
      </w:r>
      <w:r w:rsidR="0054184C">
        <w:rPr>
          <w:rFonts w:ascii="Arial" w:hAnsi="Arial" w:cs="Arial"/>
          <w:sz w:val="24"/>
          <w:szCs w:val="24"/>
        </w:rPr>
        <w:t>public participation, protect</w:t>
      </w:r>
      <w:r w:rsidR="00202523">
        <w:rPr>
          <w:rFonts w:ascii="Arial" w:hAnsi="Arial" w:cs="Arial"/>
          <w:sz w:val="24"/>
          <w:szCs w:val="24"/>
        </w:rPr>
        <w:t xml:space="preserve"> fundamental rights to fre</w:t>
      </w:r>
      <w:r w:rsidR="0054184C">
        <w:rPr>
          <w:rFonts w:ascii="Arial" w:hAnsi="Arial" w:cs="Arial"/>
          <w:sz w:val="24"/>
          <w:szCs w:val="24"/>
        </w:rPr>
        <w:t>edom of expression and provide</w:t>
      </w:r>
      <w:r w:rsidR="00202523">
        <w:rPr>
          <w:rFonts w:ascii="Arial" w:hAnsi="Arial" w:cs="Arial"/>
          <w:sz w:val="24"/>
          <w:szCs w:val="24"/>
        </w:rPr>
        <w:t xml:space="preserve"> protection against the side-effects of SLAPP suits. </w:t>
      </w:r>
      <w:r w:rsidR="00876CD4">
        <w:rPr>
          <w:rFonts w:ascii="Arial" w:hAnsi="Arial" w:cs="Arial"/>
          <w:sz w:val="24"/>
          <w:szCs w:val="24"/>
        </w:rPr>
        <w:t xml:space="preserve">In the United States </w:t>
      </w:r>
      <w:r w:rsidR="00164F6C">
        <w:rPr>
          <w:rFonts w:ascii="Arial" w:hAnsi="Arial" w:cs="Arial"/>
          <w:sz w:val="24"/>
          <w:szCs w:val="24"/>
        </w:rPr>
        <w:t>th</w:t>
      </w:r>
      <w:r w:rsidR="0054184C">
        <w:rPr>
          <w:rFonts w:ascii="Arial" w:hAnsi="Arial" w:cs="Arial"/>
          <w:sz w:val="24"/>
          <w:szCs w:val="24"/>
        </w:rPr>
        <w:t>ere is a variation between the S</w:t>
      </w:r>
      <w:r w:rsidR="00164F6C">
        <w:rPr>
          <w:rFonts w:ascii="Arial" w:hAnsi="Arial" w:cs="Arial"/>
          <w:sz w:val="24"/>
          <w:szCs w:val="24"/>
        </w:rPr>
        <w:t>tates that have adopted SLAPP suit legislation. The general approach is that public participation in matters of pu</w:t>
      </w:r>
      <w:r w:rsidR="007B2594">
        <w:rPr>
          <w:rFonts w:ascii="Arial" w:hAnsi="Arial" w:cs="Arial"/>
          <w:sz w:val="24"/>
          <w:szCs w:val="24"/>
        </w:rPr>
        <w:t>blic significance is encouraged, and an “improper purpose test”</w:t>
      </w:r>
      <w:r w:rsidR="00164F6C">
        <w:rPr>
          <w:rFonts w:ascii="Arial" w:hAnsi="Arial" w:cs="Arial"/>
          <w:sz w:val="24"/>
          <w:szCs w:val="24"/>
        </w:rPr>
        <w:t xml:space="preserve"> </w:t>
      </w:r>
      <w:r w:rsidR="007B2594">
        <w:rPr>
          <w:rFonts w:ascii="Arial" w:hAnsi="Arial" w:cs="Arial"/>
          <w:sz w:val="24"/>
          <w:szCs w:val="24"/>
        </w:rPr>
        <w:t>is applied to determine the context of the litigation.</w:t>
      </w:r>
      <w:r w:rsidR="00BE41E0">
        <w:rPr>
          <w:rFonts w:ascii="Arial" w:hAnsi="Arial" w:cs="Arial"/>
          <w:sz w:val="24"/>
          <w:szCs w:val="24"/>
        </w:rPr>
        <w:t xml:space="preserve"> Essentially proof of three elements are required namely that the defendant engaged in public participation on a public issue, plaintiff is pursuing an improper purpose, and that the lawsuit is meritless. </w:t>
      </w:r>
      <w:r w:rsidR="007B2594">
        <w:rPr>
          <w:rFonts w:ascii="Arial" w:hAnsi="Arial" w:cs="Arial"/>
          <w:sz w:val="24"/>
          <w:szCs w:val="24"/>
        </w:rPr>
        <w:t xml:space="preserve"> </w:t>
      </w:r>
      <w:r w:rsidR="00876CD4">
        <w:rPr>
          <w:rFonts w:ascii="Arial" w:hAnsi="Arial" w:cs="Arial"/>
          <w:sz w:val="24"/>
          <w:szCs w:val="24"/>
        </w:rPr>
        <w:t>The improper purpose must be the main purpose and is established where a reasonable person would consider the main purpose for starting the proceedings or maintaining</w:t>
      </w:r>
      <w:r w:rsidR="007B2594">
        <w:rPr>
          <w:rFonts w:ascii="Arial" w:hAnsi="Arial" w:cs="Arial"/>
          <w:sz w:val="24"/>
          <w:szCs w:val="24"/>
        </w:rPr>
        <w:t xml:space="preserve"> it</w:t>
      </w:r>
      <w:r w:rsidR="00876CD4">
        <w:rPr>
          <w:rFonts w:ascii="Arial" w:hAnsi="Arial" w:cs="Arial"/>
          <w:sz w:val="24"/>
          <w:szCs w:val="24"/>
        </w:rPr>
        <w:t xml:space="preserve"> is:</w:t>
      </w:r>
    </w:p>
    <w:p w14:paraId="7AE57531" w14:textId="77777777" w:rsidR="00876CD4" w:rsidRDefault="00876CD4" w:rsidP="00876CD4">
      <w:pPr>
        <w:spacing w:after="0" w:line="240" w:lineRule="auto"/>
        <w:jc w:val="both"/>
        <w:rPr>
          <w:rFonts w:ascii="Arial" w:hAnsi="Arial" w:cs="Arial"/>
          <w:sz w:val="24"/>
          <w:szCs w:val="24"/>
        </w:rPr>
      </w:pPr>
    </w:p>
    <w:p w14:paraId="4FCDDD93" w14:textId="77777777" w:rsidR="00876CD4" w:rsidRPr="00DA6814" w:rsidRDefault="00876CD4" w:rsidP="00876CD4">
      <w:pPr>
        <w:pStyle w:val="ListParagraph"/>
        <w:numPr>
          <w:ilvl w:val="0"/>
          <w:numId w:val="4"/>
        </w:numPr>
        <w:spacing w:after="0" w:line="480" w:lineRule="auto"/>
        <w:jc w:val="both"/>
        <w:rPr>
          <w:rFonts w:ascii="Arial" w:hAnsi="Arial" w:cs="Arial"/>
          <w:sz w:val="24"/>
          <w:szCs w:val="24"/>
        </w:rPr>
      </w:pPr>
      <w:r w:rsidRPr="00DA6814">
        <w:rPr>
          <w:rFonts w:ascii="Arial" w:hAnsi="Arial" w:cs="Arial"/>
          <w:sz w:val="24"/>
          <w:szCs w:val="24"/>
        </w:rPr>
        <w:t>to discourage the defendant</w:t>
      </w:r>
      <w:r>
        <w:rPr>
          <w:rFonts w:ascii="Arial" w:hAnsi="Arial" w:cs="Arial"/>
          <w:sz w:val="24"/>
          <w:szCs w:val="24"/>
        </w:rPr>
        <w:t xml:space="preserve"> or anyone else fro</w:t>
      </w:r>
      <w:r w:rsidRPr="00DA6814">
        <w:rPr>
          <w:rFonts w:ascii="Arial" w:hAnsi="Arial" w:cs="Arial"/>
          <w:sz w:val="24"/>
          <w:szCs w:val="24"/>
        </w:rPr>
        <w:t>m engaging in public participation;</w:t>
      </w:r>
    </w:p>
    <w:p w14:paraId="27BA2526" w14:textId="77777777" w:rsidR="00876CD4" w:rsidRPr="00DA6814" w:rsidRDefault="00876CD4" w:rsidP="00876CD4">
      <w:pPr>
        <w:pStyle w:val="ListParagraph"/>
        <w:numPr>
          <w:ilvl w:val="0"/>
          <w:numId w:val="4"/>
        </w:numPr>
        <w:spacing w:after="0" w:line="480" w:lineRule="auto"/>
        <w:jc w:val="both"/>
        <w:rPr>
          <w:rFonts w:ascii="Arial" w:hAnsi="Arial" w:cs="Arial"/>
          <w:sz w:val="24"/>
          <w:szCs w:val="24"/>
        </w:rPr>
      </w:pPr>
      <w:r w:rsidRPr="00DA6814">
        <w:rPr>
          <w:rFonts w:ascii="Arial" w:hAnsi="Arial" w:cs="Arial"/>
          <w:sz w:val="24"/>
          <w:szCs w:val="24"/>
        </w:rPr>
        <w:t>to divert the defendant’s resources away from engagement in public participation; or</w:t>
      </w:r>
    </w:p>
    <w:p w14:paraId="2B2FE6FE" w14:textId="77777777" w:rsidR="00876CD4" w:rsidRDefault="00876CD4" w:rsidP="00876CD4">
      <w:pPr>
        <w:spacing w:after="0" w:line="480" w:lineRule="auto"/>
        <w:jc w:val="both"/>
        <w:rPr>
          <w:rFonts w:ascii="Arial" w:hAnsi="Arial" w:cs="Arial"/>
          <w:sz w:val="24"/>
          <w:szCs w:val="24"/>
        </w:rPr>
      </w:pPr>
      <w:r>
        <w:rPr>
          <w:rFonts w:ascii="Arial" w:hAnsi="Arial" w:cs="Arial"/>
          <w:sz w:val="24"/>
          <w:szCs w:val="24"/>
        </w:rPr>
        <w:tab/>
        <w:t>(iii)</w:t>
      </w:r>
      <w:r>
        <w:rPr>
          <w:rFonts w:ascii="Arial" w:hAnsi="Arial" w:cs="Arial"/>
          <w:sz w:val="24"/>
          <w:szCs w:val="24"/>
        </w:rPr>
        <w:tab/>
        <w:t xml:space="preserve">to punish or disadvantage the defendant for engaging in public </w:t>
      </w:r>
      <w:r>
        <w:rPr>
          <w:rFonts w:ascii="Arial" w:hAnsi="Arial" w:cs="Arial"/>
          <w:sz w:val="24"/>
          <w:szCs w:val="24"/>
        </w:rPr>
        <w:tab/>
      </w:r>
      <w:r>
        <w:rPr>
          <w:rFonts w:ascii="Arial" w:hAnsi="Arial" w:cs="Arial"/>
          <w:sz w:val="24"/>
          <w:szCs w:val="24"/>
        </w:rPr>
        <w:tab/>
      </w:r>
      <w:r>
        <w:rPr>
          <w:rFonts w:ascii="Arial" w:hAnsi="Arial" w:cs="Arial"/>
          <w:sz w:val="24"/>
          <w:szCs w:val="24"/>
        </w:rPr>
        <w:tab/>
        <w:t>participation.</w:t>
      </w:r>
    </w:p>
    <w:p w14:paraId="67BD5CFC" w14:textId="77777777" w:rsidR="00876CD4" w:rsidRDefault="00876CD4" w:rsidP="00876CD4">
      <w:pPr>
        <w:spacing w:after="0" w:line="240" w:lineRule="auto"/>
        <w:jc w:val="both"/>
        <w:rPr>
          <w:rFonts w:ascii="Arial" w:hAnsi="Arial" w:cs="Arial"/>
          <w:sz w:val="24"/>
          <w:szCs w:val="24"/>
        </w:rPr>
      </w:pPr>
    </w:p>
    <w:p w14:paraId="66A53105" w14:textId="77777777" w:rsidR="00876CD4" w:rsidRDefault="00B913EB" w:rsidP="00876CD4">
      <w:pPr>
        <w:spacing w:after="0" w:line="480" w:lineRule="auto"/>
        <w:jc w:val="both"/>
        <w:rPr>
          <w:rFonts w:ascii="Arial" w:hAnsi="Arial" w:cs="Arial"/>
          <w:i/>
          <w:sz w:val="24"/>
          <w:szCs w:val="24"/>
        </w:rPr>
      </w:pPr>
      <w:r>
        <w:rPr>
          <w:rFonts w:ascii="Arial" w:hAnsi="Arial" w:cs="Arial"/>
          <w:sz w:val="24"/>
          <w:szCs w:val="24"/>
        </w:rPr>
        <w:t>[46</w:t>
      </w:r>
      <w:r w:rsidR="00876CD4">
        <w:rPr>
          <w:rFonts w:ascii="Arial" w:hAnsi="Arial" w:cs="Arial"/>
          <w:sz w:val="24"/>
          <w:szCs w:val="24"/>
        </w:rPr>
        <w:t>]</w:t>
      </w:r>
      <w:r w:rsidR="00876CD4">
        <w:rPr>
          <w:rFonts w:ascii="Arial" w:hAnsi="Arial" w:cs="Arial"/>
          <w:sz w:val="24"/>
          <w:szCs w:val="24"/>
        </w:rPr>
        <w:tab/>
        <w:t xml:space="preserve">The test is objective and the threshold is relatively high for a defendant to prove the purpose and motivations of the filer.  Once a defendant has made out a case for an improper motive based on public participation, the onus </w:t>
      </w:r>
      <w:r w:rsidR="004739AF">
        <w:rPr>
          <w:rFonts w:ascii="Arial" w:hAnsi="Arial" w:cs="Arial"/>
          <w:sz w:val="24"/>
          <w:szCs w:val="24"/>
        </w:rPr>
        <w:t xml:space="preserve">thereafter </w:t>
      </w:r>
      <w:r w:rsidR="00876CD4">
        <w:rPr>
          <w:rFonts w:ascii="Arial" w:hAnsi="Arial" w:cs="Arial"/>
          <w:sz w:val="24"/>
          <w:szCs w:val="24"/>
        </w:rPr>
        <w:t xml:space="preserve">shifts to the Plaintiff to prove that the action has substantial merit. If the plaintiff cannot meet this requirement, the action will be deemed a SLAPP, or the SLAPP will fail if it is established that there is no probability that the plaintiff will </w:t>
      </w:r>
      <w:r w:rsidR="00876CD4" w:rsidRPr="00AE0772">
        <w:rPr>
          <w:rFonts w:ascii="Arial" w:hAnsi="Arial" w:cs="Arial"/>
          <w:i/>
          <w:sz w:val="24"/>
          <w:szCs w:val="24"/>
        </w:rPr>
        <w:t>“prevail on the claim.”</w:t>
      </w:r>
      <w:r w:rsidR="00C227BF" w:rsidRPr="00C227BF">
        <w:rPr>
          <w:rStyle w:val="FootnoteReference"/>
          <w:rFonts w:ascii="Arial" w:hAnsi="Arial" w:cs="Arial"/>
          <w:sz w:val="24"/>
          <w:szCs w:val="24"/>
        </w:rPr>
        <w:t xml:space="preserve"> </w:t>
      </w:r>
      <w:r w:rsidR="00C227BF">
        <w:rPr>
          <w:rStyle w:val="FootnoteReference"/>
          <w:rFonts w:ascii="Arial" w:hAnsi="Arial" w:cs="Arial"/>
          <w:sz w:val="24"/>
          <w:szCs w:val="24"/>
        </w:rPr>
        <w:footnoteReference w:id="46"/>
      </w:r>
    </w:p>
    <w:p w14:paraId="6A568839" w14:textId="77777777" w:rsidR="005821C7" w:rsidRDefault="005821C7" w:rsidP="00876CD4">
      <w:pPr>
        <w:spacing w:after="0" w:line="480" w:lineRule="auto"/>
        <w:jc w:val="both"/>
        <w:rPr>
          <w:rFonts w:ascii="Arial" w:hAnsi="Arial" w:cs="Arial"/>
          <w:i/>
          <w:sz w:val="24"/>
          <w:szCs w:val="24"/>
        </w:rPr>
      </w:pPr>
    </w:p>
    <w:p w14:paraId="14B4D2C5" w14:textId="77777777" w:rsidR="0054184C" w:rsidRDefault="00B913EB" w:rsidP="00876CD4">
      <w:pPr>
        <w:spacing w:after="0" w:line="480" w:lineRule="auto"/>
        <w:jc w:val="both"/>
        <w:rPr>
          <w:rFonts w:ascii="Arial" w:hAnsi="Arial" w:cs="Arial"/>
          <w:sz w:val="24"/>
          <w:szCs w:val="24"/>
        </w:rPr>
      </w:pPr>
      <w:r>
        <w:rPr>
          <w:rFonts w:ascii="Arial" w:hAnsi="Arial" w:cs="Arial"/>
          <w:sz w:val="24"/>
          <w:szCs w:val="24"/>
        </w:rPr>
        <w:t>[47</w:t>
      </w:r>
      <w:r w:rsidR="0054184C">
        <w:rPr>
          <w:rFonts w:ascii="Arial" w:hAnsi="Arial" w:cs="Arial"/>
          <w:sz w:val="24"/>
          <w:szCs w:val="24"/>
        </w:rPr>
        <w:t>]</w:t>
      </w:r>
      <w:r w:rsidR="0054184C">
        <w:rPr>
          <w:rFonts w:ascii="Arial" w:hAnsi="Arial" w:cs="Arial"/>
          <w:sz w:val="24"/>
          <w:szCs w:val="24"/>
        </w:rPr>
        <w:tab/>
        <w:t xml:space="preserve">By way of example, in the State of Georgia the purpose of the code is stated as: </w:t>
      </w:r>
    </w:p>
    <w:p w14:paraId="78067DCB" w14:textId="77777777" w:rsidR="0054184C" w:rsidRPr="0054184C" w:rsidRDefault="0054184C" w:rsidP="0054184C">
      <w:pPr>
        <w:spacing w:after="0" w:line="360" w:lineRule="auto"/>
        <w:jc w:val="both"/>
        <w:rPr>
          <w:rFonts w:ascii="Arial" w:hAnsi="Arial" w:cs="Arial"/>
          <w:i/>
          <w:sz w:val="24"/>
          <w:szCs w:val="24"/>
        </w:rPr>
      </w:pPr>
      <w:r>
        <w:rPr>
          <w:rFonts w:ascii="Arial" w:hAnsi="Arial" w:cs="Arial"/>
          <w:sz w:val="24"/>
          <w:szCs w:val="24"/>
        </w:rPr>
        <w:tab/>
      </w:r>
      <w:r w:rsidRPr="0054184C">
        <w:rPr>
          <w:rFonts w:ascii="Arial" w:hAnsi="Arial" w:cs="Arial"/>
          <w:i/>
          <w:sz w:val="24"/>
          <w:szCs w:val="24"/>
        </w:rPr>
        <w:t>“The General Assembly of Georgia finds and declares that is in the public interest to encourage participation by the citizens of Georgia in matters of public significance and public interest through the exercise of their constitutional rights of petition and freedom of speech. The General Assembly of Georgia further finds and declares that the valid exercise of the constitutional rights of petition and freedom should not be chilled through abuse of the judicial process. To accomplish the declarations provided for under this subsection, this Code section shall be construed broadly.”</w:t>
      </w:r>
      <w:r w:rsidR="00490106">
        <w:rPr>
          <w:rStyle w:val="FootnoteReference"/>
          <w:rFonts w:ascii="Arial" w:hAnsi="Arial" w:cs="Arial"/>
          <w:i/>
          <w:sz w:val="24"/>
          <w:szCs w:val="24"/>
        </w:rPr>
        <w:footnoteReference w:id="47"/>
      </w:r>
    </w:p>
    <w:p w14:paraId="2C14D7B9" w14:textId="77777777" w:rsidR="0054184C" w:rsidRPr="0054184C" w:rsidRDefault="0054184C" w:rsidP="00876CD4">
      <w:pPr>
        <w:spacing w:after="0" w:line="480" w:lineRule="auto"/>
        <w:jc w:val="both"/>
        <w:rPr>
          <w:rFonts w:ascii="Arial" w:hAnsi="Arial" w:cs="Arial"/>
          <w:sz w:val="24"/>
          <w:szCs w:val="24"/>
        </w:rPr>
      </w:pPr>
    </w:p>
    <w:p w14:paraId="36A49B2A" w14:textId="77777777" w:rsidR="00C45DA0" w:rsidRDefault="007B2594" w:rsidP="00C45DA0">
      <w:pPr>
        <w:pStyle w:val="ListParagraph"/>
        <w:spacing w:line="480" w:lineRule="auto"/>
        <w:ind w:left="0"/>
        <w:jc w:val="both"/>
        <w:rPr>
          <w:rFonts w:ascii="Arial" w:hAnsi="Arial" w:cs="Arial"/>
          <w:sz w:val="24"/>
          <w:szCs w:val="24"/>
        </w:rPr>
      </w:pPr>
      <w:r>
        <w:rPr>
          <w:rFonts w:ascii="Arial" w:hAnsi="Arial" w:cs="Arial"/>
          <w:sz w:val="24"/>
          <w:szCs w:val="24"/>
        </w:rPr>
        <w:t>[48</w:t>
      </w:r>
      <w:r w:rsidR="00CD0050">
        <w:rPr>
          <w:rFonts w:ascii="Arial" w:hAnsi="Arial" w:cs="Arial"/>
          <w:sz w:val="24"/>
          <w:szCs w:val="24"/>
        </w:rPr>
        <w:t>]</w:t>
      </w:r>
      <w:r w:rsidR="00CD0050">
        <w:rPr>
          <w:rFonts w:ascii="Arial" w:hAnsi="Arial" w:cs="Arial"/>
          <w:sz w:val="24"/>
          <w:szCs w:val="24"/>
        </w:rPr>
        <w:tab/>
      </w:r>
      <w:r w:rsidR="00C45DA0">
        <w:rPr>
          <w:rFonts w:ascii="Arial" w:hAnsi="Arial" w:cs="Arial"/>
          <w:sz w:val="24"/>
          <w:szCs w:val="24"/>
        </w:rPr>
        <w:t xml:space="preserve">The broadest scope of </w:t>
      </w:r>
      <w:r w:rsidR="00202523">
        <w:rPr>
          <w:rFonts w:ascii="Arial" w:hAnsi="Arial" w:cs="Arial"/>
          <w:sz w:val="24"/>
          <w:szCs w:val="24"/>
        </w:rPr>
        <w:t xml:space="preserve">US first amendment </w:t>
      </w:r>
      <w:r w:rsidR="00CD0050">
        <w:rPr>
          <w:rFonts w:ascii="Arial" w:hAnsi="Arial" w:cs="Arial"/>
          <w:sz w:val="24"/>
          <w:szCs w:val="24"/>
        </w:rPr>
        <w:t>protection</w:t>
      </w:r>
      <w:r w:rsidR="00202523">
        <w:rPr>
          <w:rFonts w:ascii="Arial" w:hAnsi="Arial" w:cs="Arial"/>
          <w:sz w:val="24"/>
          <w:szCs w:val="24"/>
        </w:rPr>
        <w:t xml:space="preserve">s </w:t>
      </w:r>
      <w:r w:rsidR="00840892">
        <w:rPr>
          <w:rFonts w:ascii="Arial" w:hAnsi="Arial" w:cs="Arial"/>
          <w:sz w:val="24"/>
          <w:szCs w:val="24"/>
        </w:rPr>
        <w:t>is</w:t>
      </w:r>
      <w:r w:rsidR="00C45DA0">
        <w:rPr>
          <w:rFonts w:ascii="Arial" w:hAnsi="Arial" w:cs="Arial"/>
          <w:sz w:val="24"/>
          <w:szCs w:val="24"/>
        </w:rPr>
        <w:t xml:space="preserve"> provided by the California anti-SLAPP Statute, </w:t>
      </w:r>
      <w:r w:rsidR="006229FA">
        <w:rPr>
          <w:rFonts w:ascii="Arial" w:hAnsi="Arial" w:cs="Arial"/>
          <w:sz w:val="24"/>
          <w:szCs w:val="24"/>
        </w:rPr>
        <w:t>which provides for a mechanism to screen any cause of action arising from protected speech or petition</w:t>
      </w:r>
      <w:r w:rsidR="00BE41E0">
        <w:rPr>
          <w:rStyle w:val="FootnoteReference"/>
          <w:rFonts w:ascii="Arial" w:hAnsi="Arial" w:cs="Arial"/>
          <w:sz w:val="24"/>
          <w:szCs w:val="24"/>
        </w:rPr>
        <w:footnoteReference w:id="48"/>
      </w:r>
      <w:r w:rsidR="006229FA">
        <w:rPr>
          <w:rFonts w:ascii="Arial" w:hAnsi="Arial" w:cs="Arial"/>
          <w:sz w:val="24"/>
          <w:szCs w:val="24"/>
        </w:rPr>
        <w:t xml:space="preserve">. </w:t>
      </w:r>
      <w:r w:rsidR="00CD0050">
        <w:rPr>
          <w:rFonts w:ascii="Arial" w:hAnsi="Arial" w:cs="Arial"/>
          <w:sz w:val="24"/>
          <w:szCs w:val="24"/>
        </w:rPr>
        <w:t>The California Code of Civil Procedure</w:t>
      </w:r>
      <w:r w:rsidR="001D2F6E">
        <w:rPr>
          <w:rStyle w:val="FootnoteReference"/>
          <w:rFonts w:ascii="Arial" w:hAnsi="Arial" w:cs="Arial"/>
          <w:sz w:val="24"/>
          <w:szCs w:val="24"/>
        </w:rPr>
        <w:footnoteReference w:id="49"/>
      </w:r>
      <w:r w:rsidR="00CD0050">
        <w:rPr>
          <w:rFonts w:ascii="Arial" w:hAnsi="Arial" w:cs="Arial"/>
          <w:sz w:val="24"/>
          <w:szCs w:val="24"/>
        </w:rPr>
        <w:t xml:space="preserve"> asserts that:</w:t>
      </w:r>
    </w:p>
    <w:p w14:paraId="63E1749F" w14:textId="77777777" w:rsidR="00CD0050" w:rsidRDefault="00CD0050" w:rsidP="00C45DA0">
      <w:pPr>
        <w:pStyle w:val="ListParagraph"/>
        <w:spacing w:line="480" w:lineRule="auto"/>
        <w:ind w:left="0"/>
        <w:jc w:val="both"/>
        <w:rPr>
          <w:rFonts w:ascii="Arial" w:hAnsi="Arial" w:cs="Arial"/>
          <w:sz w:val="24"/>
          <w:szCs w:val="24"/>
        </w:rPr>
      </w:pPr>
    </w:p>
    <w:p w14:paraId="5B43D3D9" w14:textId="77777777" w:rsidR="00CD0050" w:rsidRDefault="00CD0050" w:rsidP="00840892">
      <w:pPr>
        <w:pStyle w:val="ListParagraph"/>
        <w:spacing w:line="360" w:lineRule="auto"/>
        <w:jc w:val="both"/>
        <w:rPr>
          <w:rFonts w:ascii="Arial" w:hAnsi="Arial" w:cs="Arial"/>
          <w:i/>
          <w:sz w:val="24"/>
          <w:szCs w:val="24"/>
        </w:rPr>
      </w:pPr>
      <w:r w:rsidRPr="00CD0050">
        <w:rPr>
          <w:rFonts w:ascii="Arial" w:hAnsi="Arial" w:cs="Arial"/>
          <w:i/>
          <w:sz w:val="24"/>
          <w:szCs w:val="24"/>
        </w:rPr>
        <w:t>“The legislature finds and declares that there has been a disturbing increase in lawsuits brought primarily to chill the valid exercise of the constitutional rights of freedom of speech and petition for redress of grievances. The legislature finds and declares that it is in the public interest to encourage continued participation in matters of public significance, and that this participation should not be chilled through abuse of judicial process. To this end, this section shall be construed broadly.”</w:t>
      </w:r>
    </w:p>
    <w:p w14:paraId="54230EBD" w14:textId="77777777" w:rsidR="006229FA" w:rsidRDefault="006229FA" w:rsidP="006229FA">
      <w:pPr>
        <w:spacing w:line="480" w:lineRule="auto"/>
        <w:jc w:val="both"/>
        <w:rPr>
          <w:rFonts w:ascii="Arial" w:hAnsi="Arial" w:cs="Arial"/>
          <w:sz w:val="24"/>
          <w:szCs w:val="24"/>
        </w:rPr>
      </w:pPr>
    </w:p>
    <w:p w14:paraId="5FF93982" w14:textId="77777777" w:rsidR="006B2B06" w:rsidRDefault="00AA0DB3" w:rsidP="006229FA">
      <w:pPr>
        <w:spacing w:line="480" w:lineRule="auto"/>
        <w:jc w:val="both"/>
        <w:rPr>
          <w:rFonts w:ascii="Arial" w:hAnsi="Arial" w:cs="Arial"/>
          <w:sz w:val="24"/>
          <w:szCs w:val="24"/>
        </w:rPr>
      </w:pPr>
      <w:r>
        <w:rPr>
          <w:rFonts w:ascii="Arial" w:hAnsi="Arial" w:cs="Arial"/>
          <w:sz w:val="24"/>
          <w:szCs w:val="24"/>
        </w:rPr>
        <w:lastRenderedPageBreak/>
        <w:t>[49</w:t>
      </w:r>
      <w:r w:rsidR="00695A71">
        <w:rPr>
          <w:rFonts w:ascii="Arial" w:hAnsi="Arial" w:cs="Arial"/>
          <w:sz w:val="24"/>
          <w:szCs w:val="24"/>
        </w:rPr>
        <w:t>]</w:t>
      </w:r>
      <w:r w:rsidR="00695A71">
        <w:rPr>
          <w:rFonts w:ascii="Arial" w:hAnsi="Arial" w:cs="Arial"/>
          <w:sz w:val="24"/>
          <w:szCs w:val="24"/>
        </w:rPr>
        <w:tab/>
        <w:t>The Washington anti-SLAPP law provides for an onerous burden of proof for the SLAPP plaintiff in a defamation suit. The defamed party must show by clear and convincing evidence that the defendant did not act in good faith when alleging a SLAPP</w:t>
      </w:r>
      <w:r w:rsidR="00695A71">
        <w:rPr>
          <w:rStyle w:val="FootnoteReference"/>
          <w:rFonts w:ascii="Arial" w:hAnsi="Arial" w:cs="Arial"/>
          <w:sz w:val="24"/>
          <w:szCs w:val="24"/>
        </w:rPr>
        <w:footnoteReference w:id="50"/>
      </w:r>
      <w:r w:rsidR="00695A71">
        <w:rPr>
          <w:rFonts w:ascii="Arial" w:hAnsi="Arial" w:cs="Arial"/>
          <w:sz w:val="24"/>
          <w:szCs w:val="24"/>
        </w:rPr>
        <w:t>.</w:t>
      </w:r>
    </w:p>
    <w:p w14:paraId="772009B0" w14:textId="77777777" w:rsidR="006B2B06" w:rsidRDefault="006B2B06" w:rsidP="006229FA">
      <w:pPr>
        <w:spacing w:line="480" w:lineRule="auto"/>
        <w:jc w:val="both"/>
        <w:rPr>
          <w:rFonts w:ascii="Arial" w:hAnsi="Arial" w:cs="Arial"/>
          <w:sz w:val="24"/>
          <w:szCs w:val="24"/>
        </w:rPr>
      </w:pPr>
    </w:p>
    <w:p w14:paraId="2320A07F" w14:textId="77777777" w:rsidR="006B2B06" w:rsidRDefault="00310AE6" w:rsidP="006229FA">
      <w:pPr>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t>On 20 November 2020 New York State strengthened its existing anti-SLAPP</w:t>
      </w:r>
      <w:r w:rsidR="006B2B06">
        <w:rPr>
          <w:rFonts w:ascii="Arial" w:hAnsi="Arial" w:cs="Arial"/>
          <w:sz w:val="24"/>
          <w:szCs w:val="24"/>
        </w:rPr>
        <w:t xml:space="preserve"> laws to expand protections afforded to defendants in lawsuits brought based on the exercise of free speech rights. </w:t>
      </w:r>
      <w:r w:rsidR="00716B10">
        <w:rPr>
          <w:rFonts w:ascii="Arial" w:hAnsi="Arial" w:cs="Arial"/>
          <w:sz w:val="24"/>
          <w:szCs w:val="24"/>
        </w:rPr>
        <w:t>The amendments broadened the anti-SLAPP law to cover cases involving</w:t>
      </w:r>
      <w:r w:rsidR="006B2B06">
        <w:rPr>
          <w:rFonts w:ascii="Arial" w:hAnsi="Arial" w:cs="Arial"/>
          <w:sz w:val="24"/>
          <w:szCs w:val="24"/>
        </w:rPr>
        <w:t xml:space="preserve"> “</w:t>
      </w:r>
      <w:r w:rsidR="00716B10">
        <w:rPr>
          <w:rFonts w:ascii="Arial" w:hAnsi="Arial" w:cs="Arial"/>
          <w:i/>
          <w:sz w:val="24"/>
          <w:szCs w:val="24"/>
        </w:rPr>
        <w:t>any communication in a</w:t>
      </w:r>
      <w:r w:rsidR="006B2B06" w:rsidRPr="006B2B06">
        <w:rPr>
          <w:rFonts w:ascii="Arial" w:hAnsi="Arial" w:cs="Arial"/>
          <w:i/>
          <w:sz w:val="24"/>
          <w:szCs w:val="24"/>
        </w:rPr>
        <w:t xml:space="preserve"> place open to the public or </w:t>
      </w:r>
      <w:r w:rsidR="00716B10">
        <w:rPr>
          <w:rFonts w:ascii="Arial" w:hAnsi="Arial" w:cs="Arial"/>
          <w:i/>
          <w:sz w:val="24"/>
          <w:szCs w:val="24"/>
        </w:rPr>
        <w:t xml:space="preserve">a </w:t>
      </w:r>
      <w:r w:rsidR="006B2B06" w:rsidRPr="006B2B06">
        <w:rPr>
          <w:rFonts w:ascii="Arial" w:hAnsi="Arial" w:cs="Arial"/>
          <w:i/>
          <w:sz w:val="24"/>
          <w:szCs w:val="24"/>
        </w:rPr>
        <w:t>public forum in connection with an issue of public interest</w:t>
      </w:r>
      <w:r w:rsidR="00716B10">
        <w:rPr>
          <w:rFonts w:ascii="Arial" w:hAnsi="Arial" w:cs="Arial"/>
          <w:i/>
          <w:sz w:val="24"/>
          <w:szCs w:val="24"/>
        </w:rPr>
        <w:t xml:space="preserve">” </w:t>
      </w:r>
      <w:r w:rsidR="006B2B06" w:rsidRPr="006B2B06">
        <w:rPr>
          <w:rFonts w:ascii="Arial" w:hAnsi="Arial" w:cs="Arial"/>
          <w:i/>
          <w:sz w:val="24"/>
          <w:szCs w:val="24"/>
        </w:rPr>
        <w:t xml:space="preserve"> </w:t>
      </w:r>
      <w:r w:rsidR="006B2B06" w:rsidRPr="00716B10">
        <w:rPr>
          <w:rFonts w:ascii="Arial" w:hAnsi="Arial" w:cs="Arial"/>
          <w:sz w:val="24"/>
          <w:szCs w:val="24"/>
        </w:rPr>
        <w:t>or</w:t>
      </w:r>
      <w:r w:rsidR="006B2B06" w:rsidRPr="006B2B06">
        <w:rPr>
          <w:rFonts w:ascii="Arial" w:hAnsi="Arial" w:cs="Arial"/>
          <w:i/>
          <w:sz w:val="24"/>
          <w:szCs w:val="24"/>
        </w:rPr>
        <w:t xml:space="preserve"> </w:t>
      </w:r>
      <w:r w:rsidR="00716B10">
        <w:rPr>
          <w:rFonts w:ascii="Arial" w:hAnsi="Arial" w:cs="Arial"/>
          <w:i/>
          <w:sz w:val="24"/>
          <w:szCs w:val="24"/>
        </w:rPr>
        <w:t>“</w:t>
      </w:r>
      <w:r w:rsidR="006B2B06" w:rsidRPr="006B2B06">
        <w:rPr>
          <w:rFonts w:ascii="Arial" w:hAnsi="Arial" w:cs="Arial"/>
          <w:i/>
          <w:sz w:val="24"/>
          <w:szCs w:val="24"/>
        </w:rPr>
        <w:t>any oth</w:t>
      </w:r>
      <w:r w:rsidR="00716B10">
        <w:rPr>
          <w:rFonts w:ascii="Arial" w:hAnsi="Arial" w:cs="Arial"/>
          <w:i/>
          <w:sz w:val="24"/>
          <w:szCs w:val="24"/>
        </w:rPr>
        <w:t>er lawful conduct in</w:t>
      </w:r>
      <w:r w:rsidR="006B2B06" w:rsidRPr="006B2B06">
        <w:rPr>
          <w:rFonts w:ascii="Arial" w:hAnsi="Arial" w:cs="Arial"/>
          <w:i/>
          <w:sz w:val="24"/>
          <w:szCs w:val="24"/>
        </w:rPr>
        <w:t xml:space="preserve"> furtherance of the exercise of the </w:t>
      </w:r>
      <w:r w:rsidR="00716B10">
        <w:rPr>
          <w:rFonts w:ascii="Arial" w:hAnsi="Arial" w:cs="Arial"/>
          <w:i/>
          <w:sz w:val="24"/>
          <w:szCs w:val="24"/>
        </w:rPr>
        <w:t>c</w:t>
      </w:r>
      <w:r w:rsidR="006B2B06" w:rsidRPr="006B2B06">
        <w:rPr>
          <w:rFonts w:ascii="Arial" w:hAnsi="Arial" w:cs="Arial"/>
          <w:i/>
          <w:sz w:val="24"/>
          <w:szCs w:val="24"/>
        </w:rPr>
        <w:t>onstitutional right of free speech in connection with an issue of public interest</w:t>
      </w:r>
      <w:r w:rsidR="00716B10">
        <w:rPr>
          <w:rFonts w:ascii="Arial" w:hAnsi="Arial" w:cs="Arial"/>
          <w:i/>
          <w:sz w:val="24"/>
          <w:szCs w:val="24"/>
        </w:rPr>
        <w:t xml:space="preserve"> </w:t>
      </w:r>
      <w:r w:rsidR="006B2B06" w:rsidRPr="006B2B06">
        <w:rPr>
          <w:rFonts w:ascii="Arial" w:hAnsi="Arial" w:cs="Arial"/>
          <w:i/>
          <w:sz w:val="24"/>
          <w:szCs w:val="24"/>
        </w:rPr>
        <w:t>…</w:t>
      </w:r>
      <w:r w:rsidR="006B2B06">
        <w:rPr>
          <w:rFonts w:ascii="Arial" w:hAnsi="Arial" w:cs="Arial"/>
          <w:sz w:val="24"/>
          <w:szCs w:val="24"/>
        </w:rPr>
        <w:t>”</w:t>
      </w:r>
      <w:r w:rsidR="006B2B06">
        <w:rPr>
          <w:rStyle w:val="FootnoteReference"/>
          <w:rFonts w:ascii="Arial" w:hAnsi="Arial" w:cs="Arial"/>
          <w:sz w:val="24"/>
          <w:szCs w:val="24"/>
        </w:rPr>
        <w:footnoteReference w:id="51"/>
      </w:r>
    </w:p>
    <w:p w14:paraId="35B9EFD8" w14:textId="77777777" w:rsidR="006B2B06" w:rsidRDefault="006B2B06" w:rsidP="006229FA">
      <w:pPr>
        <w:spacing w:line="480" w:lineRule="auto"/>
        <w:jc w:val="both"/>
        <w:rPr>
          <w:rFonts w:ascii="Arial" w:hAnsi="Arial" w:cs="Arial"/>
          <w:sz w:val="24"/>
          <w:szCs w:val="24"/>
        </w:rPr>
      </w:pPr>
    </w:p>
    <w:p w14:paraId="393304CA" w14:textId="77777777" w:rsidR="002B33CD" w:rsidRDefault="00EF4E27" w:rsidP="001D2F6E">
      <w:pPr>
        <w:spacing w:line="480" w:lineRule="auto"/>
        <w:jc w:val="both"/>
        <w:rPr>
          <w:rFonts w:ascii="Arial" w:hAnsi="Arial" w:cs="Arial"/>
          <w:sz w:val="24"/>
          <w:szCs w:val="24"/>
        </w:rPr>
      </w:pPr>
      <w:r>
        <w:rPr>
          <w:rFonts w:ascii="Arial" w:hAnsi="Arial" w:cs="Arial"/>
          <w:sz w:val="24"/>
          <w:szCs w:val="24"/>
        </w:rPr>
        <w:t>[51</w:t>
      </w:r>
      <w:r w:rsidR="006229FA">
        <w:rPr>
          <w:rFonts w:ascii="Arial" w:hAnsi="Arial" w:cs="Arial"/>
          <w:sz w:val="24"/>
          <w:szCs w:val="24"/>
        </w:rPr>
        <w:t>]</w:t>
      </w:r>
      <w:r w:rsidR="006229FA">
        <w:rPr>
          <w:rFonts w:ascii="Arial" w:hAnsi="Arial" w:cs="Arial"/>
          <w:sz w:val="24"/>
          <w:szCs w:val="24"/>
        </w:rPr>
        <w:tab/>
        <w:t xml:space="preserve"> </w:t>
      </w:r>
      <w:r w:rsidR="00497C34">
        <w:rPr>
          <w:rFonts w:ascii="Arial" w:hAnsi="Arial" w:cs="Arial"/>
          <w:sz w:val="24"/>
          <w:szCs w:val="24"/>
        </w:rPr>
        <w:t>In Europe, despite strong lobbying from interest groups, SLAPP remains unrecognised.  However, the European Union</w:t>
      </w:r>
      <w:r w:rsidR="001F214F">
        <w:rPr>
          <w:rFonts w:ascii="Arial" w:hAnsi="Arial" w:cs="Arial"/>
          <w:sz w:val="24"/>
          <w:szCs w:val="24"/>
        </w:rPr>
        <w:t xml:space="preserve"> support </w:t>
      </w:r>
      <w:r w:rsidR="00634FBF">
        <w:rPr>
          <w:rFonts w:ascii="Arial" w:hAnsi="Arial" w:cs="Arial"/>
          <w:sz w:val="24"/>
          <w:szCs w:val="24"/>
        </w:rPr>
        <w:t xml:space="preserve">and actively apply </w:t>
      </w:r>
      <w:r w:rsidR="001F214F">
        <w:rPr>
          <w:rFonts w:ascii="Arial" w:hAnsi="Arial" w:cs="Arial"/>
          <w:sz w:val="24"/>
          <w:szCs w:val="24"/>
        </w:rPr>
        <w:t>SLAPP-</w:t>
      </w:r>
      <w:r w:rsidR="00497C34">
        <w:rPr>
          <w:rFonts w:ascii="Arial" w:hAnsi="Arial" w:cs="Arial"/>
          <w:sz w:val="24"/>
          <w:szCs w:val="24"/>
        </w:rPr>
        <w:t xml:space="preserve">like measures, and anti-SLAPP legislation is actively debated.  Notwithstanding the absence of </w:t>
      </w:r>
      <w:r w:rsidR="00792158">
        <w:rPr>
          <w:rFonts w:ascii="Arial" w:hAnsi="Arial" w:cs="Arial"/>
          <w:sz w:val="24"/>
          <w:szCs w:val="24"/>
        </w:rPr>
        <w:t xml:space="preserve">legislative </w:t>
      </w:r>
      <w:r w:rsidR="00497C34">
        <w:rPr>
          <w:rFonts w:ascii="Arial" w:hAnsi="Arial" w:cs="Arial"/>
          <w:sz w:val="24"/>
          <w:szCs w:val="24"/>
        </w:rPr>
        <w:t>SLA</w:t>
      </w:r>
      <w:r w:rsidR="002B33CD">
        <w:rPr>
          <w:rFonts w:ascii="Arial" w:hAnsi="Arial" w:cs="Arial"/>
          <w:sz w:val="24"/>
          <w:szCs w:val="24"/>
        </w:rPr>
        <w:t>PP interventions, the European Court of J</w:t>
      </w:r>
      <w:r w:rsidR="00497C34">
        <w:rPr>
          <w:rFonts w:ascii="Arial" w:hAnsi="Arial" w:cs="Arial"/>
          <w:sz w:val="24"/>
          <w:szCs w:val="24"/>
        </w:rPr>
        <w:t>ustice considers</w:t>
      </w:r>
      <w:r w:rsidR="00792158">
        <w:rPr>
          <w:rFonts w:ascii="Arial" w:hAnsi="Arial" w:cs="Arial"/>
          <w:sz w:val="24"/>
          <w:szCs w:val="24"/>
        </w:rPr>
        <w:t xml:space="preserve"> public interest</w:t>
      </w:r>
      <w:r w:rsidR="00EB1F07">
        <w:rPr>
          <w:rFonts w:ascii="Arial" w:hAnsi="Arial" w:cs="Arial"/>
          <w:sz w:val="24"/>
          <w:szCs w:val="24"/>
        </w:rPr>
        <w:t xml:space="preserve"> as a decisive consideration in favour of freedom of expression.  In </w:t>
      </w:r>
      <w:proofErr w:type="spellStart"/>
      <w:r w:rsidR="00490106">
        <w:rPr>
          <w:rFonts w:ascii="Arial" w:hAnsi="Arial" w:cs="Arial"/>
          <w:b/>
          <w:sz w:val="24"/>
          <w:szCs w:val="24"/>
        </w:rPr>
        <w:t>Handys</w:t>
      </w:r>
      <w:r w:rsidR="00EB1F07" w:rsidRPr="00345189">
        <w:rPr>
          <w:rFonts w:ascii="Arial" w:hAnsi="Arial" w:cs="Arial"/>
          <w:b/>
          <w:sz w:val="24"/>
          <w:szCs w:val="24"/>
        </w:rPr>
        <w:t>ide</w:t>
      </w:r>
      <w:proofErr w:type="spellEnd"/>
      <w:r w:rsidR="00EB1F07" w:rsidRPr="00345189">
        <w:rPr>
          <w:rFonts w:ascii="Arial" w:hAnsi="Arial" w:cs="Arial"/>
          <w:b/>
          <w:sz w:val="24"/>
          <w:szCs w:val="24"/>
        </w:rPr>
        <w:t xml:space="preserve"> v U</w:t>
      </w:r>
      <w:r w:rsidR="004739AF">
        <w:rPr>
          <w:rFonts w:ascii="Arial" w:hAnsi="Arial" w:cs="Arial"/>
          <w:b/>
          <w:sz w:val="24"/>
          <w:szCs w:val="24"/>
        </w:rPr>
        <w:t xml:space="preserve">nited </w:t>
      </w:r>
      <w:r w:rsidR="00EB1F07" w:rsidRPr="00345189">
        <w:rPr>
          <w:rFonts w:ascii="Arial" w:hAnsi="Arial" w:cs="Arial"/>
          <w:b/>
          <w:sz w:val="24"/>
          <w:szCs w:val="24"/>
        </w:rPr>
        <w:t>K</w:t>
      </w:r>
      <w:r w:rsidR="004739AF">
        <w:rPr>
          <w:rFonts w:ascii="Arial" w:hAnsi="Arial" w:cs="Arial"/>
          <w:b/>
          <w:sz w:val="24"/>
          <w:szCs w:val="24"/>
        </w:rPr>
        <w:t>ingdom</w:t>
      </w:r>
      <w:r w:rsidR="00490106" w:rsidRPr="001D2F6E">
        <w:rPr>
          <w:rStyle w:val="FootnoteReference"/>
          <w:rFonts w:ascii="Arial" w:hAnsi="Arial" w:cs="Arial"/>
          <w:sz w:val="24"/>
          <w:szCs w:val="24"/>
        </w:rPr>
        <w:footnoteReference w:id="52"/>
      </w:r>
      <w:r w:rsidR="00EB1F07">
        <w:rPr>
          <w:rFonts w:ascii="Arial" w:hAnsi="Arial" w:cs="Arial"/>
          <w:sz w:val="24"/>
          <w:szCs w:val="24"/>
        </w:rPr>
        <w:t xml:space="preserve">, Case No. 5493/72, the court stated that a democratic society should tolerate ideas that </w:t>
      </w:r>
      <w:r w:rsidR="00EB1F07" w:rsidRPr="00636A84">
        <w:rPr>
          <w:rFonts w:ascii="Arial" w:hAnsi="Arial" w:cs="Arial"/>
          <w:i/>
          <w:sz w:val="24"/>
          <w:szCs w:val="24"/>
        </w:rPr>
        <w:t xml:space="preserve">“offend, shock, or disturb the </w:t>
      </w:r>
      <w:r w:rsidR="004B2D69">
        <w:rPr>
          <w:rFonts w:ascii="Arial" w:hAnsi="Arial" w:cs="Arial"/>
          <w:i/>
          <w:sz w:val="24"/>
          <w:szCs w:val="24"/>
        </w:rPr>
        <w:t xml:space="preserve">State or </w:t>
      </w:r>
      <w:r w:rsidR="00EB1F07" w:rsidRPr="00636A84">
        <w:rPr>
          <w:rFonts w:ascii="Arial" w:hAnsi="Arial" w:cs="Arial"/>
          <w:i/>
          <w:sz w:val="24"/>
          <w:szCs w:val="24"/>
        </w:rPr>
        <w:lastRenderedPageBreak/>
        <w:t>a</w:t>
      </w:r>
      <w:r w:rsidR="004B2D69">
        <w:rPr>
          <w:rFonts w:ascii="Arial" w:hAnsi="Arial" w:cs="Arial"/>
          <w:i/>
          <w:sz w:val="24"/>
          <w:szCs w:val="24"/>
        </w:rPr>
        <w:t>n</w:t>
      </w:r>
      <w:r w:rsidR="00EB1F07" w:rsidRPr="00636A84">
        <w:rPr>
          <w:rFonts w:ascii="Arial" w:hAnsi="Arial" w:cs="Arial"/>
          <w:i/>
          <w:sz w:val="24"/>
          <w:szCs w:val="24"/>
        </w:rPr>
        <w:t xml:space="preserve">y sector of </w:t>
      </w:r>
      <w:r w:rsidR="00474DF0" w:rsidRPr="00636A84">
        <w:rPr>
          <w:rFonts w:ascii="Arial" w:hAnsi="Arial" w:cs="Arial"/>
          <w:i/>
          <w:sz w:val="24"/>
          <w:szCs w:val="24"/>
        </w:rPr>
        <w:t>the population.</w:t>
      </w:r>
      <w:r w:rsidR="00636A84" w:rsidRPr="00636A84">
        <w:rPr>
          <w:rFonts w:ascii="Arial" w:hAnsi="Arial" w:cs="Arial"/>
          <w:i/>
          <w:sz w:val="24"/>
          <w:szCs w:val="24"/>
        </w:rPr>
        <w:t>”</w:t>
      </w:r>
      <w:r w:rsidR="00474DF0">
        <w:rPr>
          <w:rFonts w:ascii="Arial" w:hAnsi="Arial" w:cs="Arial"/>
          <w:sz w:val="24"/>
          <w:szCs w:val="24"/>
        </w:rPr>
        <w:t xml:space="preserve">  Furthermore, in </w:t>
      </w:r>
      <w:r w:rsidR="00474DF0" w:rsidRPr="00021082">
        <w:rPr>
          <w:rFonts w:ascii="Arial" w:hAnsi="Arial" w:cs="Arial"/>
          <w:b/>
          <w:sz w:val="24"/>
          <w:szCs w:val="24"/>
        </w:rPr>
        <w:t xml:space="preserve">Steel </w:t>
      </w:r>
      <w:r w:rsidR="00E93209">
        <w:rPr>
          <w:rFonts w:ascii="Arial" w:hAnsi="Arial" w:cs="Arial"/>
          <w:b/>
          <w:sz w:val="24"/>
          <w:szCs w:val="24"/>
        </w:rPr>
        <w:t xml:space="preserve">and </w:t>
      </w:r>
      <w:r w:rsidR="00474DF0" w:rsidRPr="00021082">
        <w:rPr>
          <w:rFonts w:ascii="Arial" w:hAnsi="Arial" w:cs="Arial"/>
          <w:b/>
          <w:sz w:val="24"/>
          <w:szCs w:val="24"/>
        </w:rPr>
        <w:t>Morris v United Kingdom</w:t>
      </w:r>
      <w:r w:rsidR="00490106" w:rsidRPr="001D2F6E">
        <w:rPr>
          <w:rStyle w:val="FootnoteReference"/>
          <w:rFonts w:ascii="Arial" w:hAnsi="Arial" w:cs="Arial"/>
          <w:sz w:val="24"/>
          <w:szCs w:val="24"/>
        </w:rPr>
        <w:footnoteReference w:id="53"/>
      </w:r>
      <w:r w:rsidR="00474DF0">
        <w:rPr>
          <w:rFonts w:ascii="Arial" w:hAnsi="Arial" w:cs="Arial"/>
          <w:sz w:val="24"/>
          <w:szCs w:val="24"/>
        </w:rPr>
        <w:t xml:space="preserve">, also known as the </w:t>
      </w:r>
      <w:proofErr w:type="spellStart"/>
      <w:r w:rsidR="00474DF0">
        <w:rPr>
          <w:rFonts w:ascii="Arial" w:hAnsi="Arial" w:cs="Arial"/>
          <w:sz w:val="24"/>
          <w:szCs w:val="24"/>
        </w:rPr>
        <w:t>McLibel</w:t>
      </w:r>
      <w:proofErr w:type="spellEnd"/>
      <w:r w:rsidR="00474DF0">
        <w:rPr>
          <w:rFonts w:ascii="Arial" w:hAnsi="Arial" w:cs="Arial"/>
          <w:sz w:val="24"/>
          <w:szCs w:val="24"/>
        </w:rPr>
        <w:t xml:space="preserve"> case, the court held that in a democratic society even small and informal campaign groups should be enabled to contribute to public debate on matters of general public interest, such </w:t>
      </w:r>
      <w:r w:rsidR="001A5C30">
        <w:rPr>
          <w:rFonts w:ascii="Arial" w:hAnsi="Arial" w:cs="Arial"/>
          <w:sz w:val="24"/>
          <w:szCs w:val="24"/>
        </w:rPr>
        <w:t xml:space="preserve">as health and the environment. </w:t>
      </w:r>
      <w:r w:rsidR="0082490D">
        <w:rPr>
          <w:rFonts w:ascii="Arial" w:hAnsi="Arial" w:cs="Arial"/>
          <w:sz w:val="24"/>
          <w:szCs w:val="24"/>
        </w:rPr>
        <w:t>Academics and journalists who participate in democratic public discourse are regularly att</w:t>
      </w:r>
      <w:r w:rsidR="006127DC">
        <w:rPr>
          <w:rFonts w:ascii="Arial" w:hAnsi="Arial" w:cs="Arial"/>
          <w:sz w:val="24"/>
          <w:szCs w:val="24"/>
        </w:rPr>
        <w:t>acked by SLAPP suits in member S</w:t>
      </w:r>
      <w:r w:rsidR="0082490D">
        <w:rPr>
          <w:rFonts w:ascii="Arial" w:hAnsi="Arial" w:cs="Arial"/>
          <w:sz w:val="24"/>
          <w:szCs w:val="24"/>
        </w:rPr>
        <w:t>tates.</w:t>
      </w:r>
      <w:r w:rsidR="006127DC">
        <w:rPr>
          <w:rFonts w:ascii="Arial" w:hAnsi="Arial" w:cs="Arial"/>
          <w:sz w:val="24"/>
          <w:szCs w:val="24"/>
        </w:rPr>
        <w:t xml:space="preserve"> Criminal defamation is still maintained in 23 EU member States. This creates fertile ground for criminal SLAPP suits. EU member S</w:t>
      </w:r>
      <w:r w:rsidR="0030624A">
        <w:rPr>
          <w:rFonts w:ascii="Arial" w:hAnsi="Arial" w:cs="Arial"/>
          <w:sz w:val="24"/>
          <w:szCs w:val="24"/>
        </w:rPr>
        <w:t>tates have not yet reached agreement on a legislative proposal to deal with the SLAPP phenomenon</w:t>
      </w:r>
      <w:r w:rsidR="006127DC">
        <w:rPr>
          <w:rStyle w:val="FootnoteReference"/>
          <w:rFonts w:ascii="Arial" w:hAnsi="Arial" w:cs="Arial"/>
          <w:sz w:val="24"/>
          <w:szCs w:val="24"/>
        </w:rPr>
        <w:footnoteReference w:id="54"/>
      </w:r>
      <w:r w:rsidR="0030624A">
        <w:rPr>
          <w:rFonts w:ascii="Arial" w:hAnsi="Arial" w:cs="Arial"/>
          <w:sz w:val="24"/>
          <w:szCs w:val="24"/>
        </w:rPr>
        <w:t>.</w:t>
      </w:r>
      <w:r w:rsidR="00F20AC9">
        <w:rPr>
          <w:rFonts w:ascii="Arial" w:hAnsi="Arial" w:cs="Arial"/>
          <w:sz w:val="24"/>
          <w:szCs w:val="24"/>
        </w:rPr>
        <w:tab/>
      </w:r>
    </w:p>
    <w:p w14:paraId="754B929F" w14:textId="77777777" w:rsidR="00093FAC" w:rsidRDefault="00F20AC9" w:rsidP="00C72F89">
      <w:pPr>
        <w:spacing w:after="0" w:line="240" w:lineRule="auto"/>
        <w:jc w:val="both"/>
        <w:rPr>
          <w:rFonts w:ascii="Arial" w:hAnsi="Arial" w:cs="Arial"/>
          <w:sz w:val="24"/>
          <w:szCs w:val="24"/>
        </w:rPr>
      </w:pPr>
      <w:r>
        <w:rPr>
          <w:rFonts w:ascii="Arial" w:hAnsi="Arial" w:cs="Arial"/>
          <w:sz w:val="24"/>
          <w:szCs w:val="24"/>
        </w:rPr>
        <w:t xml:space="preserve">  </w:t>
      </w:r>
    </w:p>
    <w:p w14:paraId="6F44C469" w14:textId="77777777" w:rsidR="00FA1E74" w:rsidRDefault="00EF4E27" w:rsidP="00BD5CDC">
      <w:pPr>
        <w:spacing w:after="0" w:line="480" w:lineRule="auto"/>
        <w:jc w:val="both"/>
        <w:rPr>
          <w:rFonts w:ascii="Arial" w:hAnsi="Arial" w:cs="Arial"/>
          <w:i/>
          <w:sz w:val="24"/>
          <w:szCs w:val="24"/>
        </w:rPr>
      </w:pPr>
      <w:r>
        <w:rPr>
          <w:rFonts w:ascii="Arial" w:hAnsi="Arial" w:cs="Arial"/>
          <w:sz w:val="24"/>
          <w:szCs w:val="24"/>
        </w:rPr>
        <w:t>[52</w:t>
      </w:r>
      <w:r w:rsidR="00093FAC">
        <w:rPr>
          <w:rFonts w:ascii="Arial" w:hAnsi="Arial" w:cs="Arial"/>
          <w:sz w:val="24"/>
          <w:szCs w:val="24"/>
        </w:rPr>
        <w:t>]</w:t>
      </w:r>
      <w:r w:rsidR="00093FAC">
        <w:rPr>
          <w:rFonts w:ascii="Arial" w:hAnsi="Arial" w:cs="Arial"/>
          <w:sz w:val="24"/>
          <w:szCs w:val="24"/>
        </w:rPr>
        <w:tab/>
        <w:t xml:space="preserve">In </w:t>
      </w:r>
      <w:r w:rsidR="00F673B3" w:rsidRPr="00093FAC">
        <w:rPr>
          <w:rFonts w:ascii="Arial" w:hAnsi="Arial" w:cs="Arial"/>
          <w:b/>
          <w:sz w:val="24"/>
          <w:szCs w:val="24"/>
        </w:rPr>
        <w:t>1704604</w:t>
      </w:r>
      <w:r w:rsidR="00F673B3">
        <w:rPr>
          <w:rFonts w:ascii="Arial" w:hAnsi="Arial" w:cs="Arial"/>
          <w:b/>
          <w:sz w:val="24"/>
          <w:szCs w:val="24"/>
        </w:rPr>
        <w:t xml:space="preserve"> </w:t>
      </w:r>
      <w:r w:rsidR="00093FAC" w:rsidRPr="00093FAC">
        <w:rPr>
          <w:rFonts w:ascii="Arial" w:hAnsi="Arial" w:cs="Arial"/>
          <w:b/>
          <w:sz w:val="24"/>
          <w:szCs w:val="24"/>
        </w:rPr>
        <w:t>Ontario Ltd v Pointes Protection Association</w:t>
      </w:r>
      <w:r w:rsidR="00BD4420" w:rsidRPr="00BD4420">
        <w:rPr>
          <w:rStyle w:val="FootnoteReference"/>
          <w:rFonts w:ascii="Arial" w:hAnsi="Arial" w:cs="Arial"/>
          <w:sz w:val="24"/>
          <w:szCs w:val="24"/>
        </w:rPr>
        <w:footnoteReference w:id="55"/>
      </w:r>
      <w:r w:rsidR="004739AF">
        <w:rPr>
          <w:rFonts w:ascii="Arial" w:hAnsi="Arial" w:cs="Arial"/>
          <w:sz w:val="24"/>
          <w:szCs w:val="24"/>
        </w:rPr>
        <w:t>, an appeal heard on 12 November 2019 in a matter</w:t>
      </w:r>
      <w:r w:rsidR="00093FAC">
        <w:rPr>
          <w:rFonts w:ascii="Arial" w:hAnsi="Arial" w:cs="Arial"/>
          <w:sz w:val="24"/>
          <w:szCs w:val="24"/>
        </w:rPr>
        <w:t xml:space="preserve"> dealing with the environment</w:t>
      </w:r>
      <w:r w:rsidR="004739AF">
        <w:rPr>
          <w:rFonts w:ascii="Arial" w:hAnsi="Arial" w:cs="Arial"/>
          <w:sz w:val="24"/>
          <w:szCs w:val="24"/>
        </w:rPr>
        <w:t>al</w:t>
      </w:r>
      <w:r w:rsidR="00093FAC">
        <w:rPr>
          <w:rFonts w:ascii="Arial" w:hAnsi="Arial" w:cs="Arial"/>
          <w:sz w:val="24"/>
          <w:szCs w:val="24"/>
        </w:rPr>
        <w:t xml:space="preserve"> impact of a private development,</w:t>
      </w:r>
      <w:r w:rsidR="001213CE">
        <w:rPr>
          <w:rFonts w:ascii="Arial" w:hAnsi="Arial" w:cs="Arial"/>
          <w:sz w:val="24"/>
          <w:szCs w:val="24"/>
        </w:rPr>
        <w:t xml:space="preserve"> the Supreme Court of Canada dismissed the developer’s suit as a SLAPP suit.  The developers sued and claimed damages for</w:t>
      </w:r>
      <w:r w:rsidR="00093FAC">
        <w:rPr>
          <w:rFonts w:ascii="Arial" w:hAnsi="Arial" w:cs="Arial"/>
          <w:sz w:val="24"/>
          <w:szCs w:val="24"/>
        </w:rPr>
        <w:t xml:space="preserve"> </w:t>
      </w:r>
      <w:r w:rsidR="00202523">
        <w:rPr>
          <w:rFonts w:ascii="Arial" w:hAnsi="Arial" w:cs="Arial"/>
          <w:sz w:val="24"/>
          <w:szCs w:val="24"/>
        </w:rPr>
        <w:t>CAD</w:t>
      </w:r>
      <w:r w:rsidR="001213CE">
        <w:rPr>
          <w:rFonts w:ascii="Arial" w:hAnsi="Arial" w:cs="Arial"/>
          <w:sz w:val="24"/>
          <w:szCs w:val="24"/>
        </w:rPr>
        <w:t>$6 m</w:t>
      </w:r>
      <w:r w:rsidR="00792158">
        <w:rPr>
          <w:rFonts w:ascii="Arial" w:hAnsi="Arial" w:cs="Arial"/>
          <w:sz w:val="24"/>
          <w:szCs w:val="24"/>
        </w:rPr>
        <w:t>illion for defamation and breach</w:t>
      </w:r>
      <w:r w:rsidR="001213CE">
        <w:rPr>
          <w:rFonts w:ascii="Arial" w:hAnsi="Arial" w:cs="Arial"/>
          <w:sz w:val="24"/>
          <w:szCs w:val="24"/>
        </w:rPr>
        <w:t xml:space="preserve"> of contract.  The court emphasised the public interest in SLAPP legislation, noting that the case was </w:t>
      </w:r>
      <w:r w:rsidR="001213CE" w:rsidRPr="001213CE">
        <w:rPr>
          <w:rFonts w:ascii="Arial" w:hAnsi="Arial" w:cs="Arial"/>
          <w:i/>
          <w:sz w:val="24"/>
          <w:szCs w:val="24"/>
        </w:rPr>
        <w:t xml:space="preserve">“about what happens when individuals </w:t>
      </w:r>
      <w:r w:rsidR="001213CE" w:rsidRPr="001213CE">
        <w:rPr>
          <w:rFonts w:ascii="Arial" w:hAnsi="Arial" w:cs="Arial"/>
          <w:i/>
          <w:sz w:val="24"/>
          <w:szCs w:val="24"/>
        </w:rPr>
        <w:lastRenderedPageBreak/>
        <w:t>and organisations use litigation</w:t>
      </w:r>
      <w:r w:rsidR="006127DC">
        <w:rPr>
          <w:rFonts w:ascii="Arial" w:hAnsi="Arial" w:cs="Arial"/>
          <w:i/>
          <w:sz w:val="24"/>
          <w:szCs w:val="24"/>
        </w:rPr>
        <w:t xml:space="preserve"> as a tool</w:t>
      </w:r>
      <w:r w:rsidR="001213CE" w:rsidRPr="001213CE">
        <w:rPr>
          <w:rFonts w:ascii="Arial" w:hAnsi="Arial" w:cs="Arial"/>
          <w:i/>
          <w:sz w:val="24"/>
          <w:szCs w:val="24"/>
        </w:rPr>
        <w:t xml:space="preserve"> to quell such expression, which, in turn quells participation and engagement </w:t>
      </w:r>
      <w:r w:rsidR="00BD4420">
        <w:rPr>
          <w:rFonts w:ascii="Arial" w:hAnsi="Arial" w:cs="Arial"/>
          <w:i/>
          <w:sz w:val="24"/>
          <w:szCs w:val="24"/>
        </w:rPr>
        <w:t>in matters of public interest.”</w:t>
      </w:r>
      <w:r w:rsidR="00BD4420">
        <w:rPr>
          <w:rStyle w:val="FootnoteReference"/>
          <w:rFonts w:ascii="Arial" w:hAnsi="Arial" w:cs="Arial"/>
          <w:i/>
          <w:sz w:val="24"/>
          <w:szCs w:val="24"/>
        </w:rPr>
        <w:footnoteReference w:id="56"/>
      </w:r>
    </w:p>
    <w:p w14:paraId="3C2FEAA7" w14:textId="77777777" w:rsidR="00EF4E27" w:rsidRPr="00B25186" w:rsidRDefault="00EF4E27" w:rsidP="00BD5CDC">
      <w:pPr>
        <w:spacing w:after="0" w:line="480" w:lineRule="auto"/>
        <w:jc w:val="both"/>
        <w:rPr>
          <w:rFonts w:ascii="Arial" w:hAnsi="Arial" w:cs="Arial"/>
          <w:sz w:val="24"/>
          <w:szCs w:val="24"/>
        </w:rPr>
      </w:pPr>
    </w:p>
    <w:p w14:paraId="1549E1E9" w14:textId="77777777" w:rsidR="00C72F89" w:rsidRDefault="00C72F89" w:rsidP="00C72F89">
      <w:pPr>
        <w:spacing w:after="0" w:line="240" w:lineRule="auto"/>
        <w:jc w:val="both"/>
        <w:rPr>
          <w:rFonts w:ascii="Arial" w:hAnsi="Arial" w:cs="Arial"/>
          <w:sz w:val="24"/>
          <w:szCs w:val="24"/>
        </w:rPr>
      </w:pPr>
    </w:p>
    <w:p w14:paraId="4E6C67EF" w14:textId="77777777" w:rsidR="007102CE" w:rsidRDefault="00EF4E27" w:rsidP="00202523">
      <w:pPr>
        <w:spacing w:after="0" w:line="480" w:lineRule="auto"/>
        <w:jc w:val="both"/>
        <w:rPr>
          <w:rFonts w:ascii="Arial" w:hAnsi="Arial" w:cs="Arial"/>
          <w:sz w:val="24"/>
          <w:szCs w:val="24"/>
        </w:rPr>
      </w:pPr>
      <w:r>
        <w:rPr>
          <w:rFonts w:ascii="Arial" w:hAnsi="Arial" w:cs="Arial"/>
          <w:sz w:val="24"/>
          <w:szCs w:val="24"/>
        </w:rPr>
        <w:t>[53</w:t>
      </w:r>
      <w:r w:rsidR="00FA1E74">
        <w:rPr>
          <w:rFonts w:ascii="Arial" w:hAnsi="Arial" w:cs="Arial"/>
          <w:sz w:val="24"/>
          <w:szCs w:val="24"/>
        </w:rPr>
        <w:t>]</w:t>
      </w:r>
      <w:r w:rsidR="00FA1E74">
        <w:rPr>
          <w:rFonts w:ascii="Arial" w:hAnsi="Arial" w:cs="Arial"/>
          <w:sz w:val="24"/>
          <w:szCs w:val="24"/>
        </w:rPr>
        <w:tab/>
        <w:t xml:space="preserve">The court approved the principles established </w:t>
      </w:r>
      <w:r w:rsidR="004739AF">
        <w:rPr>
          <w:rFonts w:ascii="Arial" w:hAnsi="Arial" w:cs="Arial"/>
          <w:sz w:val="24"/>
          <w:szCs w:val="24"/>
        </w:rPr>
        <w:t>and enunciated</w:t>
      </w:r>
      <w:r w:rsidR="001D2F6E">
        <w:rPr>
          <w:rFonts w:ascii="Arial" w:hAnsi="Arial" w:cs="Arial"/>
          <w:sz w:val="24"/>
          <w:szCs w:val="24"/>
        </w:rPr>
        <w:t xml:space="preserve"> </w:t>
      </w:r>
      <w:r w:rsidR="00FA1E74">
        <w:rPr>
          <w:rFonts w:ascii="Arial" w:hAnsi="Arial" w:cs="Arial"/>
          <w:sz w:val="24"/>
          <w:szCs w:val="24"/>
        </w:rPr>
        <w:t xml:space="preserve">in </w:t>
      </w:r>
      <w:r w:rsidR="00FA1E74" w:rsidRPr="00FA1E74">
        <w:rPr>
          <w:rFonts w:ascii="Arial" w:hAnsi="Arial" w:cs="Arial"/>
          <w:b/>
          <w:sz w:val="24"/>
          <w:szCs w:val="24"/>
        </w:rPr>
        <w:t>Grant v Torstar Corp.</w:t>
      </w:r>
      <w:r w:rsidR="00FA1E74">
        <w:rPr>
          <w:rFonts w:ascii="Arial" w:hAnsi="Arial" w:cs="Arial"/>
          <w:sz w:val="24"/>
          <w:szCs w:val="24"/>
        </w:rPr>
        <w:t xml:space="preserve"> in determining what constitutes </w:t>
      </w:r>
      <w:r w:rsidR="00FA1E74" w:rsidRPr="00FA1E74">
        <w:rPr>
          <w:rFonts w:ascii="Arial" w:hAnsi="Arial" w:cs="Arial"/>
          <w:i/>
          <w:sz w:val="24"/>
          <w:szCs w:val="24"/>
        </w:rPr>
        <w:t>“a matter of public interest.”</w:t>
      </w:r>
      <w:r w:rsidR="007E1231">
        <w:rPr>
          <w:rFonts w:ascii="Arial" w:hAnsi="Arial" w:cs="Arial"/>
          <w:sz w:val="24"/>
          <w:szCs w:val="24"/>
        </w:rPr>
        <w:t xml:space="preserve"> </w:t>
      </w:r>
      <w:r w:rsidR="004F4920">
        <w:rPr>
          <w:rFonts w:ascii="Arial" w:hAnsi="Arial" w:cs="Arial"/>
          <w:sz w:val="24"/>
          <w:szCs w:val="24"/>
        </w:rPr>
        <w:t xml:space="preserve">Public interest is to be given a broad interpretation.  It is irrelevant at the threshold stage whether </w:t>
      </w:r>
      <w:r w:rsidR="00185A66" w:rsidRPr="00185A66">
        <w:rPr>
          <w:rFonts w:ascii="Arial" w:hAnsi="Arial" w:cs="Arial"/>
          <w:i/>
          <w:sz w:val="24"/>
          <w:szCs w:val="24"/>
        </w:rPr>
        <w:t>“</w:t>
      </w:r>
      <w:r w:rsidR="004F4920" w:rsidRPr="00185A66">
        <w:rPr>
          <w:rFonts w:ascii="Arial" w:hAnsi="Arial" w:cs="Arial"/>
          <w:i/>
          <w:sz w:val="24"/>
          <w:szCs w:val="24"/>
        </w:rPr>
        <w:t>the expression is desirable and d</w:t>
      </w:r>
      <w:r w:rsidR="00F673B3">
        <w:rPr>
          <w:rFonts w:ascii="Arial" w:hAnsi="Arial" w:cs="Arial"/>
          <w:i/>
          <w:sz w:val="24"/>
          <w:szCs w:val="24"/>
        </w:rPr>
        <w:t>eleterious, valuable or vexatious</w:t>
      </w:r>
      <w:r w:rsidR="004F4920" w:rsidRPr="00185A66">
        <w:rPr>
          <w:rFonts w:ascii="Arial" w:hAnsi="Arial" w:cs="Arial"/>
          <w:i/>
          <w:sz w:val="24"/>
          <w:szCs w:val="24"/>
        </w:rPr>
        <w:t xml:space="preserve">, or whether it helps or hampers </w:t>
      </w:r>
      <w:r w:rsidR="00F673B3">
        <w:rPr>
          <w:rFonts w:ascii="Arial" w:hAnsi="Arial" w:cs="Arial"/>
          <w:i/>
          <w:sz w:val="24"/>
          <w:szCs w:val="24"/>
        </w:rPr>
        <w:t xml:space="preserve">the </w:t>
      </w:r>
      <w:r w:rsidR="004F4920" w:rsidRPr="00185A66">
        <w:rPr>
          <w:rFonts w:ascii="Arial" w:hAnsi="Arial" w:cs="Arial"/>
          <w:i/>
          <w:sz w:val="24"/>
          <w:szCs w:val="24"/>
        </w:rPr>
        <w:t>public interest</w:t>
      </w:r>
      <w:r w:rsidR="006127DC">
        <w:rPr>
          <w:rFonts w:ascii="Arial" w:hAnsi="Arial" w:cs="Arial"/>
          <w:i/>
          <w:sz w:val="24"/>
          <w:szCs w:val="24"/>
        </w:rPr>
        <w:t xml:space="preserve"> … the question is only whether the expression pertains to a matter of public interest, defined broadly. </w:t>
      </w:r>
      <w:r w:rsidR="00BD4420">
        <w:rPr>
          <w:rFonts w:ascii="Arial" w:hAnsi="Arial" w:cs="Arial"/>
          <w:i/>
          <w:sz w:val="24"/>
          <w:szCs w:val="24"/>
        </w:rPr>
        <w:t>”</w:t>
      </w:r>
      <w:r w:rsidR="00BD4420">
        <w:rPr>
          <w:rStyle w:val="FootnoteReference"/>
          <w:rFonts w:ascii="Arial" w:hAnsi="Arial" w:cs="Arial"/>
          <w:i/>
          <w:sz w:val="24"/>
          <w:szCs w:val="24"/>
        </w:rPr>
        <w:footnoteReference w:id="57"/>
      </w:r>
    </w:p>
    <w:p w14:paraId="2FDC0FD2" w14:textId="77777777" w:rsidR="00202523" w:rsidRDefault="00202523" w:rsidP="007102CE">
      <w:pPr>
        <w:spacing w:after="0" w:line="480" w:lineRule="auto"/>
        <w:jc w:val="both"/>
        <w:rPr>
          <w:rFonts w:ascii="Arial" w:hAnsi="Arial" w:cs="Arial"/>
          <w:sz w:val="24"/>
          <w:szCs w:val="24"/>
        </w:rPr>
      </w:pPr>
    </w:p>
    <w:p w14:paraId="2857B685" w14:textId="77777777" w:rsidR="00202523" w:rsidRDefault="00EF4E27" w:rsidP="00202523">
      <w:pPr>
        <w:spacing w:after="0" w:line="480" w:lineRule="auto"/>
        <w:jc w:val="both"/>
        <w:rPr>
          <w:rFonts w:ascii="Arial" w:hAnsi="Arial" w:cs="Arial"/>
          <w:sz w:val="24"/>
          <w:szCs w:val="24"/>
        </w:rPr>
      </w:pPr>
      <w:r>
        <w:rPr>
          <w:rFonts w:ascii="Arial" w:hAnsi="Arial" w:cs="Arial"/>
          <w:sz w:val="24"/>
          <w:szCs w:val="24"/>
        </w:rPr>
        <w:t>[54</w:t>
      </w:r>
      <w:r w:rsidR="00202523">
        <w:rPr>
          <w:rFonts w:ascii="Arial" w:hAnsi="Arial" w:cs="Arial"/>
          <w:sz w:val="24"/>
          <w:szCs w:val="24"/>
        </w:rPr>
        <w:t>]</w:t>
      </w:r>
      <w:r w:rsidR="00202523">
        <w:rPr>
          <w:rFonts w:ascii="Arial" w:hAnsi="Arial" w:cs="Arial"/>
          <w:sz w:val="24"/>
          <w:szCs w:val="24"/>
        </w:rPr>
        <w:tab/>
        <w:t xml:space="preserve">The defendant must demonstrate that the proceedings </w:t>
      </w:r>
      <w:r w:rsidR="00840892">
        <w:rPr>
          <w:rFonts w:ascii="Arial" w:hAnsi="Arial" w:cs="Arial"/>
          <w:sz w:val="24"/>
          <w:szCs w:val="24"/>
        </w:rPr>
        <w:t>arise</w:t>
      </w:r>
      <w:r w:rsidR="00202523">
        <w:rPr>
          <w:rFonts w:ascii="Arial" w:hAnsi="Arial" w:cs="Arial"/>
          <w:sz w:val="24"/>
          <w:szCs w:val="24"/>
        </w:rPr>
        <w:t xml:space="preserve"> from an expression relating to a matter of public interest. This threshold must be established on a balance of probabilities. Once the defendant meets this threshold burden, the onus shifts on the plaintiff to show why proceedings should not be dismissed. The plaintiff is </w:t>
      </w:r>
      <w:r w:rsidR="00BD4420">
        <w:rPr>
          <w:rFonts w:ascii="Arial" w:hAnsi="Arial" w:cs="Arial"/>
          <w:sz w:val="24"/>
          <w:szCs w:val="24"/>
        </w:rPr>
        <w:t xml:space="preserve">the </w:t>
      </w:r>
      <w:r w:rsidR="00202523">
        <w:rPr>
          <w:rFonts w:ascii="Arial" w:hAnsi="Arial" w:cs="Arial"/>
          <w:sz w:val="24"/>
          <w:szCs w:val="24"/>
        </w:rPr>
        <w:t xml:space="preserve">required to clear what is referred to as the </w:t>
      </w:r>
      <w:r w:rsidR="00942424">
        <w:rPr>
          <w:rFonts w:ascii="Arial" w:hAnsi="Arial" w:cs="Arial"/>
          <w:sz w:val="24"/>
          <w:szCs w:val="24"/>
        </w:rPr>
        <w:t>“</w:t>
      </w:r>
      <w:r w:rsidR="00202523" w:rsidRPr="00942424">
        <w:rPr>
          <w:rFonts w:ascii="Arial" w:hAnsi="Arial" w:cs="Arial"/>
          <w:i/>
          <w:sz w:val="24"/>
          <w:szCs w:val="24"/>
        </w:rPr>
        <w:t>merits based hurdle</w:t>
      </w:r>
      <w:r w:rsidR="00942424">
        <w:rPr>
          <w:rFonts w:ascii="Arial" w:hAnsi="Arial" w:cs="Arial"/>
          <w:sz w:val="24"/>
          <w:szCs w:val="24"/>
        </w:rPr>
        <w:t>”</w:t>
      </w:r>
      <w:r w:rsidR="00202523">
        <w:rPr>
          <w:rFonts w:ascii="Arial" w:hAnsi="Arial" w:cs="Arial"/>
          <w:sz w:val="24"/>
          <w:szCs w:val="24"/>
        </w:rPr>
        <w:t xml:space="preserve"> and the </w:t>
      </w:r>
      <w:r w:rsidR="00942424">
        <w:rPr>
          <w:rFonts w:ascii="Arial" w:hAnsi="Arial" w:cs="Arial"/>
          <w:sz w:val="24"/>
          <w:szCs w:val="24"/>
        </w:rPr>
        <w:t>“</w:t>
      </w:r>
      <w:r w:rsidR="00202523" w:rsidRPr="00942424">
        <w:rPr>
          <w:rFonts w:ascii="Arial" w:hAnsi="Arial" w:cs="Arial"/>
          <w:i/>
          <w:sz w:val="24"/>
          <w:szCs w:val="24"/>
        </w:rPr>
        <w:t>public interest hurdle</w:t>
      </w:r>
      <w:r w:rsidR="00942424">
        <w:rPr>
          <w:rFonts w:ascii="Arial" w:hAnsi="Arial" w:cs="Arial"/>
          <w:sz w:val="24"/>
          <w:szCs w:val="24"/>
        </w:rPr>
        <w:t>”</w:t>
      </w:r>
      <w:r w:rsidR="00202523">
        <w:rPr>
          <w:rFonts w:ascii="Arial" w:hAnsi="Arial" w:cs="Arial"/>
          <w:sz w:val="24"/>
          <w:szCs w:val="24"/>
        </w:rPr>
        <w:t>.</w:t>
      </w:r>
      <w:r w:rsidR="00BD4420">
        <w:rPr>
          <w:rStyle w:val="FootnoteReference"/>
          <w:rFonts w:ascii="Arial" w:hAnsi="Arial" w:cs="Arial"/>
          <w:sz w:val="24"/>
          <w:szCs w:val="24"/>
        </w:rPr>
        <w:footnoteReference w:id="58"/>
      </w:r>
    </w:p>
    <w:p w14:paraId="4801CDE1" w14:textId="77777777" w:rsidR="00202523" w:rsidRDefault="00202523" w:rsidP="007102CE">
      <w:pPr>
        <w:spacing w:after="0" w:line="480" w:lineRule="auto"/>
        <w:jc w:val="both"/>
        <w:rPr>
          <w:rFonts w:ascii="Arial" w:hAnsi="Arial" w:cs="Arial"/>
          <w:sz w:val="24"/>
          <w:szCs w:val="24"/>
        </w:rPr>
      </w:pPr>
    </w:p>
    <w:p w14:paraId="0844081C" w14:textId="77777777" w:rsidR="00202523" w:rsidRDefault="00EF4E27" w:rsidP="007102CE">
      <w:pPr>
        <w:spacing w:after="0" w:line="480" w:lineRule="auto"/>
        <w:jc w:val="both"/>
        <w:rPr>
          <w:rFonts w:ascii="Arial" w:hAnsi="Arial" w:cs="Arial"/>
          <w:sz w:val="24"/>
          <w:szCs w:val="24"/>
        </w:rPr>
      </w:pPr>
      <w:r>
        <w:rPr>
          <w:rFonts w:ascii="Arial" w:hAnsi="Arial" w:cs="Arial"/>
          <w:sz w:val="24"/>
          <w:szCs w:val="24"/>
        </w:rPr>
        <w:t>[55</w:t>
      </w:r>
      <w:r w:rsidR="00202523">
        <w:rPr>
          <w:rFonts w:ascii="Arial" w:hAnsi="Arial" w:cs="Arial"/>
          <w:sz w:val="24"/>
          <w:szCs w:val="24"/>
        </w:rPr>
        <w:t>]</w:t>
      </w:r>
      <w:r w:rsidR="00202523">
        <w:rPr>
          <w:rFonts w:ascii="Arial" w:hAnsi="Arial" w:cs="Arial"/>
          <w:sz w:val="24"/>
          <w:szCs w:val="24"/>
        </w:rPr>
        <w:tab/>
        <w:t xml:space="preserve">The </w:t>
      </w:r>
      <w:r w:rsidR="00202523" w:rsidRPr="004739AF">
        <w:rPr>
          <w:rFonts w:ascii="Arial" w:hAnsi="Arial" w:cs="Arial"/>
          <w:i/>
          <w:sz w:val="24"/>
          <w:szCs w:val="24"/>
        </w:rPr>
        <w:t>merits based</w:t>
      </w:r>
      <w:r w:rsidR="00202523">
        <w:rPr>
          <w:rFonts w:ascii="Arial" w:hAnsi="Arial" w:cs="Arial"/>
          <w:sz w:val="24"/>
          <w:szCs w:val="24"/>
        </w:rPr>
        <w:t xml:space="preserve"> hurdle requires the plaintiff to satisfy the court that there are grounds to believe that the proceedings have substantial merit, and that the defendant has no valid defence in the proceedings. The public interest hurdle requires the plaintiff to satisfy the court that “</w:t>
      </w:r>
      <w:r w:rsidR="00202523" w:rsidRPr="00942424">
        <w:rPr>
          <w:rFonts w:ascii="Arial" w:hAnsi="Arial" w:cs="Arial"/>
          <w:i/>
          <w:sz w:val="24"/>
          <w:szCs w:val="24"/>
        </w:rPr>
        <w:t xml:space="preserve">the harm likely to be or have been suffered by the [plaintiff] as a result of the [defendant’s] expression is sufficiently serious that the public interest in </w:t>
      </w:r>
      <w:r w:rsidR="00202523" w:rsidRPr="00942424">
        <w:rPr>
          <w:rFonts w:ascii="Arial" w:hAnsi="Arial" w:cs="Arial"/>
          <w:i/>
          <w:sz w:val="24"/>
          <w:szCs w:val="24"/>
        </w:rPr>
        <w:lastRenderedPageBreak/>
        <w:t>permitting the proceedings to continue outweighs the public interest in protecting the expression</w:t>
      </w:r>
      <w:r w:rsidR="00942424">
        <w:rPr>
          <w:rFonts w:ascii="Arial" w:hAnsi="Arial" w:cs="Arial"/>
          <w:sz w:val="24"/>
          <w:szCs w:val="24"/>
        </w:rPr>
        <w:t>”</w:t>
      </w:r>
      <w:r w:rsidR="00310AE6">
        <w:rPr>
          <w:rFonts w:ascii="Arial" w:hAnsi="Arial" w:cs="Arial"/>
          <w:sz w:val="24"/>
          <w:szCs w:val="24"/>
        </w:rPr>
        <w:t>.</w:t>
      </w:r>
      <w:r w:rsidR="00BD4420">
        <w:rPr>
          <w:rStyle w:val="FootnoteReference"/>
          <w:rFonts w:ascii="Arial" w:hAnsi="Arial" w:cs="Arial"/>
          <w:sz w:val="24"/>
          <w:szCs w:val="24"/>
        </w:rPr>
        <w:footnoteReference w:id="59"/>
      </w:r>
      <w:r w:rsidR="00310AE6">
        <w:rPr>
          <w:rFonts w:ascii="Arial" w:hAnsi="Arial" w:cs="Arial"/>
          <w:sz w:val="24"/>
          <w:szCs w:val="24"/>
        </w:rPr>
        <w:t xml:space="preserve"> </w:t>
      </w:r>
      <w:r w:rsidR="00942424">
        <w:rPr>
          <w:rFonts w:ascii="Arial" w:hAnsi="Arial" w:cs="Arial"/>
          <w:sz w:val="24"/>
          <w:szCs w:val="24"/>
        </w:rPr>
        <w:t xml:space="preserve">Simply put, </w:t>
      </w:r>
      <w:r w:rsidR="0054184C">
        <w:rPr>
          <w:rFonts w:ascii="Arial" w:hAnsi="Arial" w:cs="Arial"/>
          <w:sz w:val="24"/>
          <w:szCs w:val="24"/>
        </w:rPr>
        <w:t xml:space="preserve">the court held that </w:t>
      </w:r>
      <w:r w:rsidR="00942424">
        <w:rPr>
          <w:rFonts w:ascii="Arial" w:hAnsi="Arial" w:cs="Arial"/>
          <w:sz w:val="24"/>
          <w:szCs w:val="24"/>
        </w:rPr>
        <w:t xml:space="preserve">a plaintiff claiming defamation must address the merits of the claim and demonstrate that the public interest in vindicating that claim outweighs the public interest in protecting the defendant’s freedom of expression. </w:t>
      </w:r>
      <w:r w:rsidR="00202523">
        <w:rPr>
          <w:rFonts w:ascii="Arial" w:hAnsi="Arial" w:cs="Arial"/>
          <w:sz w:val="24"/>
          <w:szCs w:val="24"/>
        </w:rPr>
        <w:t>Significantly, to overcome the public interest hurdle, one consideration must outweigh the other.</w:t>
      </w:r>
    </w:p>
    <w:p w14:paraId="34F7C5B5" w14:textId="77777777" w:rsidR="00942424" w:rsidRDefault="00942424" w:rsidP="007102CE">
      <w:pPr>
        <w:spacing w:after="0" w:line="480" w:lineRule="auto"/>
        <w:jc w:val="both"/>
        <w:rPr>
          <w:rFonts w:ascii="Arial" w:hAnsi="Arial" w:cs="Arial"/>
          <w:sz w:val="24"/>
          <w:szCs w:val="24"/>
        </w:rPr>
      </w:pPr>
    </w:p>
    <w:p w14:paraId="206878B0" w14:textId="77777777" w:rsidR="001E0BA6" w:rsidRPr="00B25186" w:rsidRDefault="00EF4E27" w:rsidP="00BD5CDC">
      <w:pPr>
        <w:spacing w:after="0" w:line="480" w:lineRule="auto"/>
        <w:jc w:val="both"/>
        <w:rPr>
          <w:rFonts w:ascii="Arial" w:hAnsi="Arial" w:cs="Arial"/>
          <w:sz w:val="24"/>
          <w:szCs w:val="24"/>
        </w:rPr>
      </w:pPr>
      <w:r>
        <w:rPr>
          <w:rFonts w:ascii="Arial" w:hAnsi="Arial" w:cs="Arial"/>
          <w:sz w:val="24"/>
          <w:szCs w:val="24"/>
        </w:rPr>
        <w:t>[56</w:t>
      </w:r>
      <w:r w:rsidR="00E14E7F">
        <w:rPr>
          <w:rFonts w:ascii="Arial" w:hAnsi="Arial" w:cs="Arial"/>
          <w:sz w:val="24"/>
          <w:szCs w:val="24"/>
        </w:rPr>
        <w:t>]</w:t>
      </w:r>
      <w:r w:rsidR="00E14E7F">
        <w:rPr>
          <w:rFonts w:ascii="Arial" w:hAnsi="Arial" w:cs="Arial"/>
          <w:sz w:val="24"/>
          <w:szCs w:val="24"/>
        </w:rPr>
        <w:tab/>
      </w:r>
      <w:r w:rsidR="007102CE">
        <w:rPr>
          <w:rFonts w:ascii="Arial" w:hAnsi="Arial" w:cs="Arial"/>
          <w:sz w:val="24"/>
          <w:szCs w:val="24"/>
        </w:rPr>
        <w:t>The approach adopted by the Canadian Supreme Court demonstrates that speech made in connection with any issue of public interest</w:t>
      </w:r>
      <w:r w:rsidR="004739AF">
        <w:rPr>
          <w:rFonts w:ascii="Arial" w:hAnsi="Arial" w:cs="Arial"/>
          <w:sz w:val="24"/>
          <w:szCs w:val="24"/>
        </w:rPr>
        <w:t>,</w:t>
      </w:r>
      <w:r w:rsidR="007102CE">
        <w:rPr>
          <w:rFonts w:ascii="Arial" w:hAnsi="Arial" w:cs="Arial"/>
          <w:sz w:val="24"/>
          <w:szCs w:val="24"/>
        </w:rPr>
        <w:t xml:space="preserve"> or concern has a high level of protection. </w:t>
      </w:r>
      <w:r w:rsidR="00942424">
        <w:rPr>
          <w:rFonts w:ascii="Arial" w:hAnsi="Arial" w:cs="Arial"/>
          <w:sz w:val="24"/>
          <w:szCs w:val="24"/>
        </w:rPr>
        <w:t>The Supreme Court confirmed in its ruling that the court will not hear SLAPP style lawsuits unless the plaintiff can pass a rigorous test to show that it suffered real harm that outweighs the public interest in the expression of those views. Consequently, the court affirmed the right to participate in environmental activism, and confirmed the importance of protecting freedom of expression on matters of public interest.</w:t>
      </w:r>
      <w:r w:rsidR="00B25186">
        <w:rPr>
          <w:rFonts w:ascii="Arial" w:hAnsi="Arial" w:cs="Arial"/>
          <w:sz w:val="24"/>
          <w:szCs w:val="24"/>
        </w:rPr>
        <w:t xml:space="preserve"> I am in agreement with the approach adopted in </w:t>
      </w:r>
      <w:r w:rsidR="004739AF" w:rsidRPr="004739AF">
        <w:rPr>
          <w:rFonts w:ascii="Arial" w:hAnsi="Arial" w:cs="Arial"/>
          <w:b/>
          <w:sz w:val="24"/>
          <w:szCs w:val="24"/>
        </w:rPr>
        <w:t>1704604</w:t>
      </w:r>
      <w:r w:rsidR="004739AF">
        <w:rPr>
          <w:rFonts w:ascii="Arial" w:hAnsi="Arial" w:cs="Arial"/>
          <w:sz w:val="24"/>
          <w:szCs w:val="24"/>
        </w:rPr>
        <w:t xml:space="preserve"> </w:t>
      </w:r>
      <w:r w:rsidR="00B25186" w:rsidRPr="00093FAC">
        <w:rPr>
          <w:rFonts w:ascii="Arial" w:hAnsi="Arial" w:cs="Arial"/>
          <w:b/>
          <w:sz w:val="24"/>
          <w:szCs w:val="24"/>
        </w:rPr>
        <w:t>Ontario Ltd v Pointes Protection Association</w:t>
      </w:r>
      <w:r w:rsidR="00B25186">
        <w:rPr>
          <w:rFonts w:ascii="Arial" w:hAnsi="Arial" w:cs="Arial"/>
          <w:sz w:val="24"/>
          <w:szCs w:val="24"/>
        </w:rPr>
        <w:t>.</w:t>
      </w:r>
      <w:r w:rsidR="0093642D">
        <w:rPr>
          <w:rFonts w:ascii="Arial" w:hAnsi="Arial" w:cs="Arial"/>
          <w:sz w:val="24"/>
          <w:szCs w:val="24"/>
        </w:rPr>
        <w:t xml:space="preserve"> This appr</w:t>
      </w:r>
      <w:r w:rsidR="000E5201">
        <w:rPr>
          <w:rFonts w:ascii="Arial" w:hAnsi="Arial" w:cs="Arial"/>
          <w:sz w:val="24"/>
          <w:szCs w:val="24"/>
        </w:rPr>
        <w:t>oach will align with plaintiffs’</w:t>
      </w:r>
      <w:r w:rsidR="0093642D">
        <w:rPr>
          <w:rFonts w:ascii="Arial" w:hAnsi="Arial" w:cs="Arial"/>
          <w:sz w:val="24"/>
          <w:szCs w:val="24"/>
        </w:rPr>
        <w:t xml:space="preserve"> arguments that the </w:t>
      </w:r>
      <w:r w:rsidR="00310AE6">
        <w:rPr>
          <w:rFonts w:ascii="Arial" w:hAnsi="Arial" w:cs="Arial"/>
          <w:sz w:val="24"/>
          <w:szCs w:val="24"/>
        </w:rPr>
        <w:t>merits cannot be ignored in the determination of this</w:t>
      </w:r>
      <w:r w:rsidR="0093642D">
        <w:rPr>
          <w:rFonts w:ascii="Arial" w:hAnsi="Arial" w:cs="Arial"/>
          <w:sz w:val="24"/>
          <w:szCs w:val="24"/>
        </w:rPr>
        <w:t xml:space="preserve"> matter.</w:t>
      </w:r>
    </w:p>
    <w:p w14:paraId="62EAB9CC" w14:textId="77777777" w:rsidR="00942424" w:rsidRDefault="00942424" w:rsidP="00BD5CDC">
      <w:pPr>
        <w:spacing w:after="0" w:line="480" w:lineRule="auto"/>
        <w:jc w:val="both"/>
        <w:rPr>
          <w:rFonts w:ascii="Arial" w:hAnsi="Arial" w:cs="Arial"/>
          <w:sz w:val="24"/>
          <w:szCs w:val="24"/>
        </w:rPr>
      </w:pPr>
    </w:p>
    <w:p w14:paraId="61E6BA59" w14:textId="77777777" w:rsidR="007102CE" w:rsidRDefault="00E14E7F" w:rsidP="007102CE">
      <w:pPr>
        <w:pStyle w:val="ListParagraph"/>
        <w:spacing w:line="480" w:lineRule="auto"/>
        <w:ind w:left="0"/>
        <w:jc w:val="both"/>
        <w:rPr>
          <w:rFonts w:ascii="Arial" w:hAnsi="Arial" w:cs="Arial"/>
          <w:sz w:val="24"/>
          <w:szCs w:val="24"/>
        </w:rPr>
      </w:pPr>
      <w:r>
        <w:rPr>
          <w:rFonts w:ascii="Arial" w:hAnsi="Arial" w:cs="Arial"/>
          <w:sz w:val="24"/>
          <w:szCs w:val="24"/>
        </w:rPr>
        <w:t>[5</w:t>
      </w:r>
      <w:r w:rsidR="00EF4E27">
        <w:rPr>
          <w:rFonts w:ascii="Arial" w:hAnsi="Arial" w:cs="Arial"/>
          <w:sz w:val="24"/>
          <w:szCs w:val="24"/>
        </w:rPr>
        <w:t>7</w:t>
      </w:r>
      <w:r w:rsidR="007102CE">
        <w:rPr>
          <w:rFonts w:ascii="Arial" w:hAnsi="Arial" w:cs="Arial"/>
          <w:sz w:val="24"/>
          <w:szCs w:val="24"/>
        </w:rPr>
        <w:t>]</w:t>
      </w:r>
      <w:r w:rsidR="007102CE">
        <w:rPr>
          <w:rFonts w:ascii="Arial" w:hAnsi="Arial" w:cs="Arial"/>
          <w:sz w:val="24"/>
          <w:szCs w:val="24"/>
        </w:rPr>
        <w:tab/>
      </w:r>
      <w:r w:rsidR="00145E8A">
        <w:rPr>
          <w:rFonts w:ascii="Arial" w:hAnsi="Arial" w:cs="Arial"/>
          <w:sz w:val="24"/>
          <w:szCs w:val="24"/>
        </w:rPr>
        <w:t xml:space="preserve">Research conducted by </w:t>
      </w:r>
      <w:proofErr w:type="spellStart"/>
      <w:r w:rsidR="007102CE">
        <w:rPr>
          <w:rFonts w:ascii="Arial" w:hAnsi="Arial" w:cs="Arial"/>
          <w:sz w:val="24"/>
          <w:szCs w:val="24"/>
        </w:rPr>
        <w:t>Pring</w:t>
      </w:r>
      <w:proofErr w:type="spellEnd"/>
      <w:r w:rsidR="007102CE">
        <w:rPr>
          <w:rFonts w:ascii="Arial" w:hAnsi="Arial" w:cs="Arial"/>
          <w:sz w:val="24"/>
          <w:szCs w:val="24"/>
        </w:rPr>
        <w:t xml:space="preserve"> and </w:t>
      </w:r>
      <w:proofErr w:type="spellStart"/>
      <w:r w:rsidR="007102CE">
        <w:rPr>
          <w:rFonts w:ascii="Arial" w:hAnsi="Arial" w:cs="Arial"/>
          <w:sz w:val="24"/>
          <w:szCs w:val="24"/>
        </w:rPr>
        <w:t>Canan</w:t>
      </w:r>
      <w:proofErr w:type="spellEnd"/>
      <w:r w:rsidR="007102CE">
        <w:rPr>
          <w:rFonts w:ascii="Arial" w:hAnsi="Arial" w:cs="Arial"/>
          <w:sz w:val="24"/>
          <w:szCs w:val="24"/>
        </w:rPr>
        <w:t xml:space="preserve"> found that defamation is the single most frequent cause of action alleged in SLAPP lawsuits</w:t>
      </w:r>
      <w:r w:rsidR="00BD4420">
        <w:rPr>
          <w:rStyle w:val="FootnoteReference"/>
          <w:rFonts w:ascii="Arial" w:hAnsi="Arial" w:cs="Arial"/>
          <w:sz w:val="24"/>
          <w:szCs w:val="24"/>
        </w:rPr>
        <w:footnoteReference w:id="60"/>
      </w:r>
      <w:r w:rsidR="004739AF">
        <w:rPr>
          <w:rFonts w:ascii="Arial" w:hAnsi="Arial" w:cs="Arial"/>
          <w:sz w:val="24"/>
          <w:szCs w:val="24"/>
        </w:rPr>
        <w:t>. SLAPP assumes</w:t>
      </w:r>
      <w:r w:rsidR="007102CE">
        <w:rPr>
          <w:rFonts w:ascii="Arial" w:hAnsi="Arial" w:cs="Arial"/>
          <w:sz w:val="24"/>
          <w:szCs w:val="24"/>
        </w:rPr>
        <w:t xml:space="preserve"> many forms, but the most common is a civil case for defamation in relation to environmental</w:t>
      </w:r>
      <w:r w:rsidR="008C6F49">
        <w:rPr>
          <w:rFonts w:ascii="Arial" w:hAnsi="Arial" w:cs="Arial"/>
          <w:sz w:val="24"/>
          <w:szCs w:val="24"/>
        </w:rPr>
        <w:t xml:space="preserve"> campaigning or protest action.</w:t>
      </w:r>
      <w:r w:rsidR="007102CE">
        <w:rPr>
          <w:rFonts w:ascii="Arial" w:hAnsi="Arial" w:cs="Arial"/>
          <w:sz w:val="24"/>
          <w:szCs w:val="24"/>
        </w:rPr>
        <w:t xml:space="preserve"> </w:t>
      </w:r>
      <w:r w:rsidR="00B70CC6">
        <w:rPr>
          <w:rFonts w:ascii="Arial" w:hAnsi="Arial" w:cs="Arial"/>
          <w:sz w:val="24"/>
          <w:szCs w:val="24"/>
        </w:rPr>
        <w:t xml:space="preserve">Consequently, a defamation claim is a convenient </w:t>
      </w:r>
      <w:r w:rsidR="00B70CC6">
        <w:rPr>
          <w:rFonts w:ascii="Arial" w:hAnsi="Arial" w:cs="Arial"/>
          <w:sz w:val="24"/>
          <w:szCs w:val="24"/>
        </w:rPr>
        <w:lastRenderedPageBreak/>
        <w:t xml:space="preserve">ground to pursue, with the sole purpose to silence the </w:t>
      </w:r>
      <w:r w:rsidR="008D210F">
        <w:rPr>
          <w:rFonts w:ascii="Arial" w:hAnsi="Arial" w:cs="Arial"/>
          <w:sz w:val="24"/>
          <w:szCs w:val="24"/>
        </w:rPr>
        <w:t>antagonist.</w:t>
      </w:r>
      <w:r w:rsidR="006C5FCC">
        <w:rPr>
          <w:rStyle w:val="FootnoteReference"/>
          <w:rFonts w:ascii="Arial" w:hAnsi="Arial" w:cs="Arial"/>
          <w:sz w:val="24"/>
          <w:szCs w:val="24"/>
        </w:rPr>
        <w:footnoteReference w:id="61"/>
      </w:r>
      <w:r w:rsidR="008D210F">
        <w:rPr>
          <w:rFonts w:ascii="Arial" w:hAnsi="Arial" w:cs="Arial"/>
          <w:sz w:val="24"/>
          <w:szCs w:val="24"/>
        </w:rPr>
        <w:t xml:space="preserve"> Defamation suits</w:t>
      </w:r>
      <w:r w:rsidR="00B70CC6">
        <w:rPr>
          <w:rFonts w:ascii="Arial" w:hAnsi="Arial" w:cs="Arial"/>
          <w:sz w:val="24"/>
          <w:szCs w:val="24"/>
        </w:rPr>
        <w:t xml:space="preserve"> have the characteristics of a SLAPP suit if it is primarily initiated in an attempt to silence criticism and shutting down activism. A common feature of SLAPP suits is therefore a demand for an apology as an alternative to the exorbitant monetary claim. </w:t>
      </w:r>
      <w:r w:rsidR="007102CE">
        <w:rPr>
          <w:rFonts w:ascii="Arial" w:hAnsi="Arial" w:cs="Arial"/>
          <w:sz w:val="24"/>
          <w:szCs w:val="24"/>
        </w:rPr>
        <w:t>SLAPP filers are generally not interested in monetary compensation to vindicate their claims.</w:t>
      </w:r>
      <w:r w:rsidR="0054184C" w:rsidRPr="0054184C">
        <w:rPr>
          <w:rFonts w:ascii="Arial" w:hAnsi="Arial" w:cs="Arial"/>
          <w:sz w:val="24"/>
          <w:szCs w:val="24"/>
        </w:rPr>
        <w:t xml:space="preserve"> </w:t>
      </w:r>
      <w:r w:rsidR="0054184C">
        <w:rPr>
          <w:rFonts w:ascii="Arial" w:hAnsi="Arial" w:cs="Arial"/>
          <w:sz w:val="24"/>
          <w:szCs w:val="24"/>
        </w:rPr>
        <w:t>SLAPP suits often masquerade as ordinary civil claims such as defamation.</w:t>
      </w:r>
      <w:r w:rsidR="007102CE">
        <w:rPr>
          <w:rFonts w:ascii="Arial" w:hAnsi="Arial" w:cs="Arial"/>
          <w:sz w:val="24"/>
          <w:szCs w:val="24"/>
        </w:rPr>
        <w:t xml:space="preserve"> </w:t>
      </w:r>
      <w:r w:rsidR="00B70CC6" w:rsidRPr="007102CE">
        <w:rPr>
          <w:rFonts w:ascii="Arial" w:hAnsi="Arial" w:cs="Arial"/>
          <w:sz w:val="24"/>
          <w:szCs w:val="24"/>
        </w:rPr>
        <w:t>It is</w:t>
      </w:r>
      <w:r w:rsidR="00B70CC6">
        <w:rPr>
          <w:rFonts w:ascii="Arial" w:hAnsi="Arial" w:cs="Arial"/>
          <w:sz w:val="24"/>
          <w:szCs w:val="24"/>
        </w:rPr>
        <w:t xml:space="preserve"> therefore</w:t>
      </w:r>
      <w:r w:rsidR="00B70CC6" w:rsidRPr="007102CE">
        <w:rPr>
          <w:rFonts w:ascii="Arial" w:hAnsi="Arial" w:cs="Arial"/>
          <w:sz w:val="24"/>
          <w:szCs w:val="24"/>
        </w:rPr>
        <w:t xml:space="preserve"> important to scrutinise</w:t>
      </w:r>
      <w:r w:rsidR="00B70CC6">
        <w:rPr>
          <w:rFonts w:ascii="Arial" w:hAnsi="Arial" w:cs="Arial"/>
          <w:sz w:val="24"/>
          <w:szCs w:val="24"/>
        </w:rPr>
        <w:t xml:space="preserve"> defamation suits in order to determine whether or not it is a genuine attempt to protect the reputation of a litigant. </w:t>
      </w:r>
      <w:r w:rsidR="00B70CC6" w:rsidRPr="00B70CC6">
        <w:rPr>
          <w:rFonts w:ascii="Arial" w:hAnsi="Arial" w:cs="Arial"/>
          <w:sz w:val="24"/>
          <w:szCs w:val="24"/>
        </w:rPr>
        <w:t xml:space="preserve"> </w:t>
      </w:r>
      <w:r w:rsidR="00B70CC6">
        <w:rPr>
          <w:rFonts w:ascii="Arial" w:hAnsi="Arial" w:cs="Arial"/>
          <w:sz w:val="24"/>
          <w:szCs w:val="24"/>
        </w:rPr>
        <w:t>A number of US states specifically addressed defamation claims made in the context of SLAPP suits by providing for qualified privilege where the statement has been made by a person engaging in public participation.</w:t>
      </w:r>
    </w:p>
    <w:p w14:paraId="6B87D01B" w14:textId="77777777" w:rsidR="007B2594" w:rsidRDefault="007B2594" w:rsidP="007102CE">
      <w:pPr>
        <w:pStyle w:val="ListParagraph"/>
        <w:spacing w:line="480" w:lineRule="auto"/>
        <w:ind w:left="0"/>
        <w:jc w:val="both"/>
        <w:rPr>
          <w:rFonts w:ascii="Arial" w:hAnsi="Arial" w:cs="Arial"/>
          <w:sz w:val="24"/>
          <w:szCs w:val="24"/>
        </w:rPr>
      </w:pPr>
    </w:p>
    <w:p w14:paraId="54478B9A" w14:textId="77777777" w:rsidR="00E03988" w:rsidRDefault="00EF4E27" w:rsidP="00A93AAF">
      <w:pPr>
        <w:spacing w:after="0" w:line="480" w:lineRule="auto"/>
        <w:jc w:val="both"/>
        <w:rPr>
          <w:rFonts w:ascii="Arial" w:hAnsi="Arial" w:cs="Arial"/>
          <w:sz w:val="24"/>
          <w:szCs w:val="24"/>
        </w:rPr>
      </w:pPr>
      <w:r>
        <w:rPr>
          <w:rFonts w:ascii="Arial" w:hAnsi="Arial" w:cs="Arial"/>
          <w:sz w:val="24"/>
          <w:szCs w:val="24"/>
        </w:rPr>
        <w:t>[58</w:t>
      </w:r>
      <w:r w:rsidR="00CD0050">
        <w:rPr>
          <w:rFonts w:ascii="Arial" w:hAnsi="Arial" w:cs="Arial"/>
          <w:sz w:val="24"/>
          <w:szCs w:val="24"/>
        </w:rPr>
        <w:t>]</w:t>
      </w:r>
      <w:r w:rsidR="00CD0050">
        <w:rPr>
          <w:rFonts w:ascii="Arial" w:hAnsi="Arial" w:cs="Arial"/>
          <w:sz w:val="24"/>
          <w:szCs w:val="24"/>
        </w:rPr>
        <w:tab/>
      </w:r>
      <w:r w:rsidR="00145E8A">
        <w:rPr>
          <w:rFonts w:ascii="Arial" w:hAnsi="Arial" w:cs="Arial"/>
          <w:sz w:val="24"/>
          <w:szCs w:val="24"/>
        </w:rPr>
        <w:t xml:space="preserve"> Distinguishing a SLAPP suit from a conventional civil lawsuit involves competing policy considerations in determining which activities should be protected from legal action. </w:t>
      </w:r>
      <w:r w:rsidR="006229FA">
        <w:rPr>
          <w:rFonts w:ascii="Arial" w:hAnsi="Arial" w:cs="Arial"/>
          <w:sz w:val="24"/>
          <w:szCs w:val="24"/>
        </w:rPr>
        <w:t>A central feature of environmental activism, is c</w:t>
      </w:r>
      <w:r w:rsidR="00CE65E9">
        <w:rPr>
          <w:rFonts w:ascii="Arial" w:hAnsi="Arial" w:cs="Arial"/>
          <w:sz w:val="24"/>
          <w:szCs w:val="24"/>
        </w:rPr>
        <w:t>hallenging certain activities with</w:t>
      </w:r>
      <w:r w:rsidR="006229FA">
        <w:rPr>
          <w:rFonts w:ascii="Arial" w:hAnsi="Arial" w:cs="Arial"/>
          <w:sz w:val="24"/>
          <w:szCs w:val="24"/>
        </w:rPr>
        <w:t xml:space="preserve"> regard to the manner in which those activities impact on the environment. Considering the nature of activism, it is inevitable that damaging information or claims are likely to emerge. Environmental activism is centred on providing critical information, even though such information may not always be correct</w:t>
      </w:r>
    </w:p>
    <w:p w14:paraId="57C36D15" w14:textId="77777777" w:rsidR="00EC066F" w:rsidRDefault="00EC066F" w:rsidP="00A93AAF">
      <w:pPr>
        <w:spacing w:after="0" w:line="480" w:lineRule="auto"/>
        <w:jc w:val="both"/>
        <w:rPr>
          <w:rFonts w:ascii="Arial" w:hAnsi="Arial" w:cs="Arial"/>
          <w:sz w:val="24"/>
          <w:szCs w:val="24"/>
        </w:rPr>
      </w:pPr>
    </w:p>
    <w:p w14:paraId="7F3CAC2C" w14:textId="77777777" w:rsidR="00773D82" w:rsidRDefault="00EF4E27" w:rsidP="00773D82">
      <w:pPr>
        <w:pStyle w:val="ListParagraph"/>
        <w:spacing w:line="480" w:lineRule="auto"/>
        <w:ind w:left="0"/>
        <w:jc w:val="both"/>
        <w:rPr>
          <w:rFonts w:ascii="Arial" w:hAnsi="Arial" w:cs="Arial"/>
          <w:sz w:val="24"/>
          <w:szCs w:val="24"/>
        </w:rPr>
      </w:pPr>
      <w:r>
        <w:rPr>
          <w:rFonts w:ascii="Arial" w:hAnsi="Arial" w:cs="Arial"/>
          <w:sz w:val="24"/>
          <w:szCs w:val="24"/>
        </w:rPr>
        <w:t>[59</w:t>
      </w:r>
      <w:r w:rsidR="007F7228">
        <w:rPr>
          <w:rFonts w:ascii="Arial" w:hAnsi="Arial" w:cs="Arial"/>
          <w:sz w:val="24"/>
          <w:szCs w:val="24"/>
        </w:rPr>
        <w:t>]</w:t>
      </w:r>
      <w:r w:rsidR="007F7228">
        <w:rPr>
          <w:rFonts w:ascii="Arial" w:hAnsi="Arial" w:cs="Arial"/>
          <w:sz w:val="24"/>
          <w:szCs w:val="24"/>
        </w:rPr>
        <w:tab/>
      </w:r>
      <w:r w:rsidR="00B8404D">
        <w:rPr>
          <w:rFonts w:ascii="Arial" w:hAnsi="Arial" w:cs="Arial"/>
          <w:sz w:val="24"/>
          <w:szCs w:val="24"/>
        </w:rPr>
        <w:t xml:space="preserve">The claim against the defendants </w:t>
      </w:r>
      <w:r w:rsidR="0054184C">
        <w:rPr>
          <w:rFonts w:ascii="Arial" w:hAnsi="Arial" w:cs="Arial"/>
          <w:sz w:val="24"/>
          <w:szCs w:val="24"/>
        </w:rPr>
        <w:t xml:space="preserve">in this matter </w:t>
      </w:r>
      <w:r w:rsidR="00B8404D">
        <w:rPr>
          <w:rFonts w:ascii="Arial" w:hAnsi="Arial" w:cs="Arial"/>
          <w:sz w:val="24"/>
          <w:szCs w:val="24"/>
        </w:rPr>
        <w:t>arises out of their activism in protecting such envir</w:t>
      </w:r>
      <w:r w:rsidR="00D2032B">
        <w:rPr>
          <w:rFonts w:ascii="Arial" w:hAnsi="Arial" w:cs="Arial"/>
          <w:sz w:val="24"/>
          <w:szCs w:val="24"/>
        </w:rPr>
        <w:t xml:space="preserve">onmental rights. </w:t>
      </w:r>
      <w:r w:rsidR="00A93AAF">
        <w:rPr>
          <w:rFonts w:ascii="Arial" w:hAnsi="Arial" w:cs="Arial"/>
          <w:sz w:val="24"/>
          <w:szCs w:val="24"/>
        </w:rPr>
        <w:t>Clarke published an e-book with a worldwide reach in 2014</w:t>
      </w:r>
      <w:r w:rsidR="007F7228">
        <w:rPr>
          <w:rFonts w:ascii="Arial" w:hAnsi="Arial" w:cs="Arial"/>
          <w:sz w:val="24"/>
          <w:szCs w:val="24"/>
        </w:rPr>
        <w:t xml:space="preserve"> and 2015</w:t>
      </w:r>
      <w:r w:rsidR="00A93AAF">
        <w:rPr>
          <w:rFonts w:ascii="Arial" w:hAnsi="Arial" w:cs="Arial"/>
          <w:sz w:val="24"/>
          <w:szCs w:val="24"/>
        </w:rPr>
        <w:t xml:space="preserve">, but no action was instituted against him at the time. </w:t>
      </w:r>
      <w:r w:rsidR="007F7228">
        <w:rPr>
          <w:rFonts w:ascii="Arial" w:hAnsi="Arial" w:cs="Arial"/>
          <w:sz w:val="24"/>
          <w:szCs w:val="24"/>
        </w:rPr>
        <w:t xml:space="preserve">It is highly </w:t>
      </w:r>
      <w:r w:rsidR="007F7228">
        <w:rPr>
          <w:rFonts w:ascii="Arial" w:hAnsi="Arial" w:cs="Arial"/>
          <w:sz w:val="24"/>
          <w:szCs w:val="24"/>
        </w:rPr>
        <w:lastRenderedPageBreak/>
        <w:t xml:space="preserve">unlikely that the plaintiffs were not aware of </w:t>
      </w:r>
      <w:r w:rsidR="00735D05">
        <w:rPr>
          <w:rFonts w:ascii="Arial" w:hAnsi="Arial" w:cs="Arial"/>
          <w:sz w:val="24"/>
          <w:szCs w:val="24"/>
        </w:rPr>
        <w:t xml:space="preserve">Clarke’s activism and </w:t>
      </w:r>
      <w:r w:rsidR="007F7228">
        <w:rPr>
          <w:rFonts w:ascii="Arial" w:hAnsi="Arial" w:cs="Arial"/>
          <w:sz w:val="24"/>
          <w:szCs w:val="24"/>
        </w:rPr>
        <w:t>the</w:t>
      </w:r>
      <w:r w:rsidR="00EC066F">
        <w:rPr>
          <w:rFonts w:ascii="Arial" w:hAnsi="Arial" w:cs="Arial"/>
          <w:sz w:val="24"/>
          <w:szCs w:val="24"/>
        </w:rPr>
        <w:t xml:space="preserve"> existence of the</w:t>
      </w:r>
      <w:r w:rsidR="007F7228">
        <w:rPr>
          <w:rFonts w:ascii="Arial" w:hAnsi="Arial" w:cs="Arial"/>
          <w:sz w:val="24"/>
          <w:szCs w:val="24"/>
        </w:rPr>
        <w:t xml:space="preserve"> e-books a</w:t>
      </w:r>
      <w:r w:rsidR="00EC066F">
        <w:rPr>
          <w:rFonts w:ascii="Arial" w:hAnsi="Arial" w:cs="Arial"/>
          <w:sz w:val="24"/>
          <w:szCs w:val="24"/>
        </w:rPr>
        <w:t>t the time. The two e-books had</w:t>
      </w:r>
      <w:r w:rsidR="007F7228">
        <w:rPr>
          <w:rFonts w:ascii="Arial" w:hAnsi="Arial" w:cs="Arial"/>
          <w:sz w:val="24"/>
          <w:szCs w:val="24"/>
        </w:rPr>
        <w:t xml:space="preserve"> the potential to cause great harm to the plaintiff’s reputation. However, the plaintiff did not deem it necessary to institute action at the time. It is clear that summons was only issued after Clarke continued his environmental campaign in 2016. Clarke, Dlamini and Cullinan were targeted more or less at the same time in 2016, followed </w:t>
      </w:r>
      <w:r w:rsidR="004739AF">
        <w:rPr>
          <w:rFonts w:ascii="Arial" w:hAnsi="Arial" w:cs="Arial"/>
          <w:sz w:val="24"/>
          <w:szCs w:val="24"/>
        </w:rPr>
        <w:t xml:space="preserve">thereafter </w:t>
      </w:r>
      <w:r w:rsidR="007F7228">
        <w:rPr>
          <w:rFonts w:ascii="Arial" w:hAnsi="Arial" w:cs="Arial"/>
          <w:sz w:val="24"/>
          <w:szCs w:val="24"/>
        </w:rPr>
        <w:t xml:space="preserve">by </w:t>
      </w:r>
      <w:proofErr w:type="spellStart"/>
      <w:r w:rsidR="007F7228">
        <w:rPr>
          <w:rFonts w:ascii="Arial" w:hAnsi="Arial" w:cs="Arial"/>
          <w:sz w:val="24"/>
          <w:szCs w:val="24"/>
        </w:rPr>
        <w:t>Redell</w:t>
      </w:r>
      <w:proofErr w:type="spellEnd"/>
      <w:r w:rsidR="007F7228">
        <w:rPr>
          <w:rFonts w:ascii="Arial" w:hAnsi="Arial" w:cs="Arial"/>
          <w:sz w:val="24"/>
          <w:szCs w:val="24"/>
        </w:rPr>
        <w:t xml:space="preserve">, Davies and Cloete in 2017. </w:t>
      </w:r>
    </w:p>
    <w:p w14:paraId="55A60340" w14:textId="77777777" w:rsidR="00210FEC" w:rsidRDefault="00210FEC" w:rsidP="00773D82">
      <w:pPr>
        <w:pStyle w:val="ListParagraph"/>
        <w:spacing w:line="480" w:lineRule="auto"/>
        <w:ind w:left="0"/>
        <w:jc w:val="both"/>
        <w:rPr>
          <w:rFonts w:ascii="Arial" w:hAnsi="Arial" w:cs="Arial"/>
          <w:sz w:val="24"/>
          <w:szCs w:val="24"/>
        </w:rPr>
      </w:pPr>
    </w:p>
    <w:p w14:paraId="5CD7A469" w14:textId="77777777" w:rsidR="002E2325" w:rsidRDefault="00B72AEB" w:rsidP="002E2325">
      <w:pPr>
        <w:pStyle w:val="ListParagraph"/>
        <w:spacing w:line="480" w:lineRule="auto"/>
        <w:ind w:left="0"/>
        <w:jc w:val="both"/>
        <w:rPr>
          <w:rFonts w:ascii="Arial" w:hAnsi="Arial" w:cs="Arial"/>
          <w:sz w:val="24"/>
          <w:szCs w:val="24"/>
        </w:rPr>
      </w:pPr>
      <w:r>
        <w:rPr>
          <w:rFonts w:ascii="Arial" w:hAnsi="Arial" w:cs="Arial"/>
          <w:sz w:val="24"/>
          <w:szCs w:val="24"/>
        </w:rPr>
        <w:t>[</w:t>
      </w:r>
      <w:r w:rsidR="00EF4E27">
        <w:rPr>
          <w:rFonts w:ascii="Arial" w:hAnsi="Arial" w:cs="Arial"/>
          <w:sz w:val="24"/>
          <w:szCs w:val="24"/>
        </w:rPr>
        <w:t>60</w:t>
      </w:r>
      <w:r>
        <w:rPr>
          <w:rFonts w:ascii="Arial" w:hAnsi="Arial" w:cs="Arial"/>
          <w:sz w:val="24"/>
          <w:szCs w:val="24"/>
        </w:rPr>
        <w:t>]</w:t>
      </w:r>
      <w:r>
        <w:rPr>
          <w:rFonts w:ascii="Arial" w:hAnsi="Arial" w:cs="Arial"/>
          <w:sz w:val="24"/>
          <w:szCs w:val="24"/>
        </w:rPr>
        <w:tab/>
        <w:t>The plaintiffs are engaged in mining activities</w:t>
      </w:r>
      <w:r w:rsidR="008E70E8">
        <w:rPr>
          <w:rFonts w:ascii="Arial" w:hAnsi="Arial" w:cs="Arial"/>
          <w:sz w:val="24"/>
          <w:szCs w:val="24"/>
        </w:rPr>
        <w:t xml:space="preserve"> and</w:t>
      </w:r>
      <w:r w:rsidR="00210FEC">
        <w:rPr>
          <w:rFonts w:ascii="Arial" w:hAnsi="Arial" w:cs="Arial"/>
          <w:sz w:val="24"/>
          <w:szCs w:val="24"/>
        </w:rPr>
        <w:t xml:space="preserve"> have significant litigation </w:t>
      </w:r>
      <w:r w:rsidR="00680C87">
        <w:rPr>
          <w:rFonts w:ascii="Arial" w:hAnsi="Arial" w:cs="Arial"/>
          <w:sz w:val="24"/>
          <w:szCs w:val="24"/>
        </w:rPr>
        <w:t>and human resources.</w:t>
      </w:r>
      <w:r w:rsidR="00210FEC">
        <w:rPr>
          <w:rFonts w:ascii="Arial" w:hAnsi="Arial" w:cs="Arial"/>
          <w:sz w:val="24"/>
          <w:szCs w:val="24"/>
        </w:rPr>
        <w:t xml:space="preserve"> </w:t>
      </w:r>
      <w:r w:rsidR="00680C87">
        <w:rPr>
          <w:rFonts w:ascii="Arial" w:hAnsi="Arial" w:cs="Arial"/>
          <w:sz w:val="24"/>
          <w:szCs w:val="24"/>
        </w:rPr>
        <w:t xml:space="preserve">Corporations can easily write off legal costs as a business expense. </w:t>
      </w:r>
      <w:r w:rsidR="002E2325">
        <w:rPr>
          <w:rFonts w:ascii="Arial" w:hAnsi="Arial" w:cs="Arial"/>
          <w:sz w:val="24"/>
          <w:szCs w:val="24"/>
        </w:rPr>
        <w:t xml:space="preserve">SLAPP filers, with substantial resources at their disposal, abuse the gross disparity of resources between them and the target. </w:t>
      </w:r>
      <w:r>
        <w:rPr>
          <w:rFonts w:ascii="Arial" w:hAnsi="Arial" w:cs="Arial"/>
          <w:sz w:val="24"/>
          <w:szCs w:val="24"/>
        </w:rPr>
        <w:t xml:space="preserve">The defendants are activists and attorneys who do not possess the financial resources </w:t>
      </w:r>
      <w:r w:rsidR="004739AF">
        <w:rPr>
          <w:rFonts w:ascii="Arial" w:hAnsi="Arial" w:cs="Arial"/>
          <w:sz w:val="24"/>
          <w:szCs w:val="24"/>
        </w:rPr>
        <w:t xml:space="preserve">that the </w:t>
      </w:r>
      <w:r>
        <w:rPr>
          <w:rFonts w:ascii="Arial" w:hAnsi="Arial" w:cs="Arial"/>
          <w:sz w:val="24"/>
          <w:szCs w:val="24"/>
        </w:rPr>
        <w:t>mining companies</w:t>
      </w:r>
      <w:r w:rsidR="004739AF">
        <w:rPr>
          <w:rFonts w:ascii="Arial" w:hAnsi="Arial" w:cs="Arial"/>
          <w:sz w:val="24"/>
          <w:szCs w:val="24"/>
        </w:rPr>
        <w:t xml:space="preserve"> have</w:t>
      </w:r>
      <w:r>
        <w:rPr>
          <w:rFonts w:ascii="Arial" w:hAnsi="Arial" w:cs="Arial"/>
          <w:sz w:val="24"/>
          <w:szCs w:val="24"/>
        </w:rPr>
        <w:t xml:space="preserve">. </w:t>
      </w:r>
      <w:r w:rsidR="002E2325">
        <w:rPr>
          <w:rFonts w:ascii="Arial" w:hAnsi="Arial" w:cs="Arial"/>
          <w:sz w:val="24"/>
          <w:szCs w:val="24"/>
        </w:rPr>
        <w:t>The plaintiff</w:t>
      </w:r>
      <w:r w:rsidR="00680C87">
        <w:rPr>
          <w:rFonts w:ascii="Arial" w:hAnsi="Arial" w:cs="Arial"/>
          <w:sz w:val="24"/>
          <w:szCs w:val="24"/>
        </w:rPr>
        <w:t xml:space="preserve">s must be </w:t>
      </w:r>
      <w:r w:rsidR="004739AF">
        <w:rPr>
          <w:rFonts w:ascii="Arial" w:hAnsi="Arial" w:cs="Arial"/>
          <w:sz w:val="24"/>
          <w:szCs w:val="24"/>
        </w:rPr>
        <w:t xml:space="preserve">fully </w:t>
      </w:r>
      <w:r w:rsidR="00680C87">
        <w:rPr>
          <w:rFonts w:ascii="Arial" w:hAnsi="Arial" w:cs="Arial"/>
          <w:sz w:val="24"/>
          <w:szCs w:val="24"/>
        </w:rPr>
        <w:t xml:space="preserve">aware that resources are important in relation to protest-based litigation. </w:t>
      </w:r>
      <w:r w:rsidR="002E2325">
        <w:rPr>
          <w:rFonts w:ascii="Arial" w:hAnsi="Arial" w:cs="Arial"/>
          <w:sz w:val="24"/>
          <w:szCs w:val="24"/>
        </w:rPr>
        <w:t xml:space="preserve">The vertical </w:t>
      </w:r>
      <w:r w:rsidR="004739AF">
        <w:rPr>
          <w:rFonts w:ascii="Arial" w:hAnsi="Arial" w:cs="Arial"/>
          <w:sz w:val="24"/>
          <w:szCs w:val="24"/>
        </w:rPr>
        <w:t xml:space="preserve">and unequal </w:t>
      </w:r>
      <w:r w:rsidR="002E2325">
        <w:rPr>
          <w:rFonts w:ascii="Arial" w:hAnsi="Arial" w:cs="Arial"/>
          <w:sz w:val="24"/>
          <w:szCs w:val="24"/>
        </w:rPr>
        <w:t>power relationship between the parties, is glaringly obvious, where the applicant is in a position of power, and the other individuals are activists and lecturers.</w:t>
      </w:r>
    </w:p>
    <w:p w14:paraId="57CB3B24" w14:textId="77777777" w:rsidR="002E2325" w:rsidRDefault="002E2325" w:rsidP="00680C87">
      <w:pPr>
        <w:pStyle w:val="ListParagraph"/>
        <w:spacing w:line="480" w:lineRule="auto"/>
        <w:ind w:left="0"/>
        <w:jc w:val="both"/>
        <w:rPr>
          <w:rFonts w:ascii="Arial" w:hAnsi="Arial" w:cs="Arial"/>
          <w:sz w:val="24"/>
          <w:szCs w:val="24"/>
        </w:rPr>
      </w:pPr>
    </w:p>
    <w:p w14:paraId="2AA8BC9B" w14:textId="77777777" w:rsidR="002E2325" w:rsidRDefault="00EF4E27" w:rsidP="00680C87">
      <w:pPr>
        <w:pStyle w:val="ListParagraph"/>
        <w:spacing w:line="480" w:lineRule="auto"/>
        <w:ind w:left="0"/>
        <w:jc w:val="both"/>
        <w:rPr>
          <w:rFonts w:ascii="Arial" w:hAnsi="Arial" w:cs="Arial"/>
          <w:sz w:val="24"/>
          <w:szCs w:val="24"/>
        </w:rPr>
      </w:pPr>
      <w:r>
        <w:rPr>
          <w:rFonts w:ascii="Arial" w:hAnsi="Arial" w:cs="Arial"/>
          <w:sz w:val="24"/>
          <w:szCs w:val="24"/>
        </w:rPr>
        <w:t>[61</w:t>
      </w:r>
      <w:r w:rsidR="00264F38">
        <w:rPr>
          <w:rFonts w:ascii="Arial" w:hAnsi="Arial" w:cs="Arial"/>
          <w:sz w:val="24"/>
          <w:szCs w:val="24"/>
        </w:rPr>
        <w:t>]</w:t>
      </w:r>
      <w:r w:rsidR="00264F38">
        <w:rPr>
          <w:rFonts w:ascii="Arial" w:hAnsi="Arial" w:cs="Arial"/>
          <w:sz w:val="24"/>
          <w:szCs w:val="24"/>
        </w:rPr>
        <w:tab/>
      </w:r>
      <w:r w:rsidR="00680C87">
        <w:rPr>
          <w:rFonts w:ascii="Arial" w:hAnsi="Arial" w:cs="Arial"/>
          <w:sz w:val="24"/>
          <w:szCs w:val="24"/>
        </w:rPr>
        <w:t>The strategy to target a group of environmental activists more or less at the same time may have the effect of intimidating them to such an extent, that they may withdraw from further engagement after being sued for damages.</w:t>
      </w:r>
      <w:r w:rsidR="002E2325">
        <w:rPr>
          <w:rFonts w:ascii="Arial" w:hAnsi="Arial" w:cs="Arial"/>
          <w:sz w:val="24"/>
          <w:szCs w:val="24"/>
        </w:rPr>
        <w:t xml:space="preserve"> The impact of SLAPPs can be devastating for targets. </w:t>
      </w:r>
      <w:r w:rsidR="00680C87">
        <w:rPr>
          <w:rFonts w:ascii="Arial" w:hAnsi="Arial" w:cs="Arial"/>
          <w:sz w:val="24"/>
          <w:szCs w:val="24"/>
        </w:rPr>
        <w:t xml:space="preserve">This strategy may operate to produce a chilling </w:t>
      </w:r>
      <w:r w:rsidR="008D210F">
        <w:rPr>
          <w:rFonts w:ascii="Arial" w:hAnsi="Arial" w:cs="Arial"/>
          <w:sz w:val="24"/>
          <w:szCs w:val="24"/>
        </w:rPr>
        <w:t>effect not only on the defendants’</w:t>
      </w:r>
      <w:r w:rsidR="00680C87">
        <w:rPr>
          <w:rFonts w:ascii="Arial" w:hAnsi="Arial" w:cs="Arial"/>
          <w:sz w:val="24"/>
          <w:szCs w:val="24"/>
        </w:rPr>
        <w:t xml:space="preserve"> constitutional right to freedom of expression, but also on others who considered speaking out on the issu</w:t>
      </w:r>
      <w:r w:rsidR="00CF282B">
        <w:rPr>
          <w:rFonts w:ascii="Arial" w:hAnsi="Arial" w:cs="Arial"/>
          <w:sz w:val="24"/>
          <w:szCs w:val="24"/>
        </w:rPr>
        <w:t xml:space="preserve">e in the future. In fact, entire </w:t>
      </w:r>
      <w:r w:rsidR="00680C87">
        <w:rPr>
          <w:rFonts w:ascii="Arial" w:hAnsi="Arial" w:cs="Arial"/>
          <w:sz w:val="24"/>
          <w:szCs w:val="24"/>
        </w:rPr>
        <w:lastRenderedPageBreak/>
        <w:t xml:space="preserve">communities </w:t>
      </w:r>
      <w:r w:rsidR="00CF282B">
        <w:rPr>
          <w:rFonts w:ascii="Arial" w:hAnsi="Arial" w:cs="Arial"/>
          <w:sz w:val="24"/>
          <w:szCs w:val="24"/>
        </w:rPr>
        <w:t>and groups can often be</w:t>
      </w:r>
      <w:r w:rsidR="00680C87">
        <w:rPr>
          <w:rFonts w:ascii="Arial" w:hAnsi="Arial" w:cs="Arial"/>
          <w:sz w:val="24"/>
          <w:szCs w:val="24"/>
        </w:rPr>
        <w:t xml:space="preserve"> silenced out of fear of being dragged into a </w:t>
      </w:r>
      <w:r w:rsidR="00CF282B">
        <w:rPr>
          <w:rFonts w:ascii="Arial" w:hAnsi="Arial" w:cs="Arial"/>
          <w:sz w:val="24"/>
          <w:szCs w:val="24"/>
        </w:rPr>
        <w:t xml:space="preserve">perpetual </w:t>
      </w:r>
      <w:r w:rsidR="00680C87">
        <w:rPr>
          <w:rFonts w:ascii="Arial" w:hAnsi="Arial" w:cs="Arial"/>
          <w:sz w:val="24"/>
          <w:szCs w:val="24"/>
        </w:rPr>
        <w:t>lawsuit.</w:t>
      </w:r>
    </w:p>
    <w:p w14:paraId="265848B2" w14:textId="77777777" w:rsidR="00680C87" w:rsidRDefault="00680C87" w:rsidP="00B72AEB">
      <w:pPr>
        <w:pStyle w:val="ListParagraph"/>
        <w:spacing w:line="480" w:lineRule="auto"/>
        <w:ind w:left="0"/>
        <w:jc w:val="both"/>
        <w:rPr>
          <w:rFonts w:ascii="Arial" w:hAnsi="Arial" w:cs="Arial"/>
          <w:sz w:val="24"/>
          <w:szCs w:val="24"/>
        </w:rPr>
      </w:pPr>
    </w:p>
    <w:p w14:paraId="23E9ABF5" w14:textId="77777777" w:rsidR="00B72AEB" w:rsidRDefault="00264F38" w:rsidP="00B72AEB">
      <w:pPr>
        <w:pStyle w:val="ListParagraph"/>
        <w:spacing w:line="480" w:lineRule="auto"/>
        <w:ind w:left="0"/>
        <w:jc w:val="both"/>
        <w:rPr>
          <w:rFonts w:ascii="Arial" w:hAnsi="Arial" w:cs="Arial"/>
          <w:sz w:val="24"/>
          <w:szCs w:val="24"/>
        </w:rPr>
      </w:pPr>
      <w:r>
        <w:rPr>
          <w:rFonts w:ascii="Arial" w:hAnsi="Arial" w:cs="Arial"/>
          <w:sz w:val="24"/>
          <w:szCs w:val="24"/>
        </w:rPr>
        <w:t>[</w:t>
      </w:r>
      <w:r w:rsidR="00EF4E27">
        <w:rPr>
          <w:rFonts w:ascii="Arial" w:hAnsi="Arial" w:cs="Arial"/>
          <w:sz w:val="24"/>
          <w:szCs w:val="24"/>
        </w:rPr>
        <w:t>62</w:t>
      </w:r>
      <w:r w:rsidR="00B72AEB">
        <w:rPr>
          <w:rFonts w:ascii="Arial" w:hAnsi="Arial" w:cs="Arial"/>
          <w:sz w:val="24"/>
          <w:szCs w:val="24"/>
        </w:rPr>
        <w:t>]</w:t>
      </w:r>
      <w:r w:rsidR="00B72AEB">
        <w:rPr>
          <w:rFonts w:ascii="Arial" w:hAnsi="Arial" w:cs="Arial"/>
          <w:sz w:val="24"/>
          <w:szCs w:val="24"/>
        </w:rPr>
        <w:tab/>
        <w:t xml:space="preserve">It is evident that the </w:t>
      </w:r>
      <w:r w:rsidR="008D210F">
        <w:rPr>
          <w:rFonts w:ascii="Arial" w:hAnsi="Arial" w:cs="Arial"/>
          <w:sz w:val="24"/>
          <w:szCs w:val="24"/>
        </w:rPr>
        <w:t xml:space="preserve">strategy adopted by the plaintiffs is that the </w:t>
      </w:r>
      <w:r w:rsidR="00B72AEB">
        <w:rPr>
          <w:rFonts w:ascii="Arial" w:hAnsi="Arial" w:cs="Arial"/>
          <w:sz w:val="24"/>
          <w:szCs w:val="24"/>
        </w:rPr>
        <w:t xml:space="preserve">more </w:t>
      </w:r>
      <w:r w:rsidR="008D210F" w:rsidRPr="008D210F">
        <w:rPr>
          <w:rFonts w:ascii="Arial" w:hAnsi="Arial" w:cs="Arial"/>
          <w:sz w:val="24"/>
          <w:szCs w:val="24"/>
        </w:rPr>
        <w:t>vocal and critical</w:t>
      </w:r>
      <w:r w:rsidR="00B72AEB">
        <w:rPr>
          <w:rFonts w:ascii="Arial" w:hAnsi="Arial" w:cs="Arial"/>
          <w:sz w:val="24"/>
          <w:szCs w:val="24"/>
        </w:rPr>
        <w:t xml:space="preserve"> the activist is, as is the case with Clarke, the higher the damages amount claimed.</w:t>
      </w:r>
      <w:r w:rsidR="00B72AEB" w:rsidRPr="00B72AEB">
        <w:rPr>
          <w:rFonts w:ascii="Arial" w:hAnsi="Arial" w:cs="Arial"/>
          <w:sz w:val="24"/>
          <w:szCs w:val="24"/>
        </w:rPr>
        <w:t xml:space="preserve"> </w:t>
      </w:r>
      <w:r w:rsidR="00B72AEB">
        <w:rPr>
          <w:rFonts w:ascii="Arial" w:hAnsi="Arial" w:cs="Arial"/>
          <w:sz w:val="24"/>
          <w:szCs w:val="24"/>
        </w:rPr>
        <w:t xml:space="preserve">The mining companies are claiming </w:t>
      </w:r>
      <w:r w:rsidR="00CF282B">
        <w:rPr>
          <w:rFonts w:ascii="Arial" w:hAnsi="Arial" w:cs="Arial"/>
          <w:sz w:val="24"/>
          <w:szCs w:val="24"/>
        </w:rPr>
        <w:t xml:space="preserve">inexplicably </w:t>
      </w:r>
      <w:r w:rsidR="00B72AEB">
        <w:rPr>
          <w:rFonts w:ascii="Arial" w:hAnsi="Arial" w:cs="Arial"/>
          <w:sz w:val="24"/>
          <w:szCs w:val="24"/>
        </w:rPr>
        <w:t xml:space="preserve">exorbitant amounts for damages, which the defendants can ill-afford. They instituted these proceedings fully aware of the fact that there is no realistic prospect of recovering the damages they seek. </w:t>
      </w:r>
      <w:r w:rsidR="009051E1">
        <w:rPr>
          <w:rFonts w:ascii="Arial" w:hAnsi="Arial" w:cs="Arial"/>
          <w:sz w:val="24"/>
          <w:szCs w:val="24"/>
        </w:rPr>
        <w:t>This action will without a</w:t>
      </w:r>
      <w:r w:rsidR="00B72AEB">
        <w:rPr>
          <w:rFonts w:ascii="Arial" w:hAnsi="Arial" w:cs="Arial"/>
          <w:sz w:val="24"/>
          <w:szCs w:val="24"/>
        </w:rPr>
        <w:t xml:space="preserve"> doubt place an economic burden on the defendants.</w:t>
      </w:r>
      <w:r w:rsidR="00B72AEB" w:rsidRPr="00773D82">
        <w:rPr>
          <w:rFonts w:ascii="Arial" w:hAnsi="Arial" w:cs="Arial"/>
          <w:sz w:val="24"/>
          <w:szCs w:val="24"/>
        </w:rPr>
        <w:t xml:space="preserve"> </w:t>
      </w:r>
      <w:r w:rsidR="00B72AEB">
        <w:rPr>
          <w:rFonts w:ascii="Arial" w:hAnsi="Arial" w:cs="Arial"/>
          <w:sz w:val="24"/>
          <w:szCs w:val="24"/>
        </w:rPr>
        <w:t xml:space="preserve">However, it appears that the action is </w:t>
      </w:r>
      <w:r w:rsidR="00210FEC">
        <w:rPr>
          <w:rFonts w:ascii="Arial" w:hAnsi="Arial" w:cs="Arial"/>
          <w:sz w:val="24"/>
          <w:szCs w:val="24"/>
        </w:rPr>
        <w:t>not aimed at obtaining monetary</w:t>
      </w:r>
      <w:r w:rsidR="00CF282B">
        <w:rPr>
          <w:rFonts w:ascii="Arial" w:hAnsi="Arial" w:cs="Arial"/>
          <w:sz w:val="24"/>
          <w:szCs w:val="24"/>
        </w:rPr>
        <w:t>, or financial</w:t>
      </w:r>
      <w:r w:rsidR="00210FEC">
        <w:rPr>
          <w:rFonts w:ascii="Arial" w:hAnsi="Arial" w:cs="Arial"/>
          <w:sz w:val="24"/>
          <w:szCs w:val="24"/>
        </w:rPr>
        <w:t xml:space="preserve"> damages</w:t>
      </w:r>
      <w:r w:rsidR="00CF282B">
        <w:rPr>
          <w:rFonts w:ascii="Arial" w:hAnsi="Arial" w:cs="Arial"/>
          <w:sz w:val="24"/>
          <w:szCs w:val="24"/>
        </w:rPr>
        <w:t>, but rather vindicating a right, or</w:t>
      </w:r>
      <w:r w:rsidR="009051E1">
        <w:rPr>
          <w:rFonts w:ascii="Arial" w:hAnsi="Arial" w:cs="Arial"/>
          <w:sz w:val="24"/>
          <w:szCs w:val="24"/>
        </w:rPr>
        <w:t xml:space="preserve"> for some other purpose. </w:t>
      </w:r>
      <w:r w:rsidR="00210FEC">
        <w:rPr>
          <w:rFonts w:ascii="Arial" w:hAnsi="Arial" w:cs="Arial"/>
          <w:sz w:val="24"/>
          <w:szCs w:val="24"/>
        </w:rPr>
        <w:t>The plaintiffs have indicated that</w:t>
      </w:r>
      <w:r w:rsidR="00B72AEB">
        <w:rPr>
          <w:rFonts w:ascii="Arial" w:hAnsi="Arial" w:cs="Arial"/>
          <w:sz w:val="24"/>
          <w:szCs w:val="24"/>
        </w:rPr>
        <w:t xml:space="preserve"> </w:t>
      </w:r>
      <w:r w:rsidR="00210FEC">
        <w:rPr>
          <w:rFonts w:ascii="Arial" w:hAnsi="Arial" w:cs="Arial"/>
          <w:sz w:val="24"/>
          <w:szCs w:val="24"/>
        </w:rPr>
        <w:t>in the alternative, they would be satisfied</w:t>
      </w:r>
      <w:r w:rsidR="00B72AEB">
        <w:rPr>
          <w:rFonts w:ascii="Arial" w:hAnsi="Arial" w:cs="Arial"/>
          <w:sz w:val="24"/>
          <w:szCs w:val="24"/>
        </w:rPr>
        <w:t xml:space="preserve"> to dispose of the matter on the basis of a public apology.</w:t>
      </w:r>
      <w:r w:rsidR="00B72AEB" w:rsidRPr="00773D82">
        <w:rPr>
          <w:rFonts w:ascii="Arial" w:hAnsi="Arial" w:cs="Arial"/>
          <w:sz w:val="24"/>
          <w:szCs w:val="24"/>
        </w:rPr>
        <w:t xml:space="preserve"> </w:t>
      </w:r>
      <w:r w:rsidR="00210FEC">
        <w:rPr>
          <w:rFonts w:ascii="Arial" w:hAnsi="Arial" w:cs="Arial"/>
          <w:sz w:val="24"/>
          <w:szCs w:val="24"/>
        </w:rPr>
        <w:t>This is a signature mark of many SLAPP suits. The conclusion is</w:t>
      </w:r>
      <w:r w:rsidR="00B72AEB">
        <w:rPr>
          <w:rFonts w:ascii="Arial" w:hAnsi="Arial" w:cs="Arial"/>
          <w:sz w:val="24"/>
          <w:szCs w:val="24"/>
        </w:rPr>
        <w:t xml:space="preserve"> </w:t>
      </w:r>
      <w:r w:rsidR="00210FEC">
        <w:rPr>
          <w:rFonts w:ascii="Arial" w:hAnsi="Arial" w:cs="Arial"/>
          <w:sz w:val="24"/>
          <w:szCs w:val="24"/>
        </w:rPr>
        <w:t>incontro</w:t>
      </w:r>
      <w:r w:rsidR="00B72AEB">
        <w:rPr>
          <w:rFonts w:ascii="Arial" w:hAnsi="Arial" w:cs="Arial"/>
          <w:sz w:val="24"/>
          <w:szCs w:val="24"/>
        </w:rPr>
        <w:t xml:space="preserve">vertible that the lawsuit was initiated against the defendants because they have spoken out and had assumed a specific position in respect of the plaintiffs’ mining operations. </w:t>
      </w:r>
    </w:p>
    <w:p w14:paraId="5676A0EE" w14:textId="77777777" w:rsidR="00B72AEB" w:rsidRDefault="00B72AEB" w:rsidP="00773D82">
      <w:pPr>
        <w:pStyle w:val="ListParagraph"/>
        <w:spacing w:line="480" w:lineRule="auto"/>
        <w:ind w:left="0"/>
        <w:jc w:val="both"/>
        <w:rPr>
          <w:rFonts w:ascii="Arial" w:hAnsi="Arial" w:cs="Arial"/>
          <w:sz w:val="24"/>
          <w:szCs w:val="24"/>
        </w:rPr>
      </w:pPr>
    </w:p>
    <w:p w14:paraId="2008BCE1" w14:textId="77777777" w:rsidR="00C67C57" w:rsidRDefault="00EF4E27" w:rsidP="00DA522D">
      <w:pPr>
        <w:pStyle w:val="ListParagraph"/>
        <w:spacing w:line="480" w:lineRule="auto"/>
        <w:ind w:left="0"/>
        <w:jc w:val="both"/>
        <w:rPr>
          <w:rFonts w:ascii="Arial" w:hAnsi="Arial" w:cs="Arial"/>
          <w:sz w:val="24"/>
          <w:szCs w:val="24"/>
        </w:rPr>
      </w:pPr>
      <w:r>
        <w:rPr>
          <w:rFonts w:ascii="Arial" w:hAnsi="Arial" w:cs="Arial"/>
          <w:sz w:val="24"/>
          <w:szCs w:val="24"/>
        </w:rPr>
        <w:t>[63</w:t>
      </w:r>
      <w:r w:rsidR="00BC3235">
        <w:rPr>
          <w:rFonts w:ascii="Arial" w:hAnsi="Arial" w:cs="Arial"/>
          <w:sz w:val="24"/>
          <w:szCs w:val="24"/>
        </w:rPr>
        <w:t>]</w:t>
      </w:r>
      <w:r w:rsidR="00BC3235">
        <w:rPr>
          <w:rFonts w:ascii="Arial" w:hAnsi="Arial" w:cs="Arial"/>
          <w:sz w:val="24"/>
          <w:szCs w:val="24"/>
        </w:rPr>
        <w:tab/>
        <w:t>Public participation is a key component in environmental activism, and the chilling effect</w:t>
      </w:r>
      <w:r w:rsidR="008D210F">
        <w:rPr>
          <w:rFonts w:ascii="Arial" w:hAnsi="Arial" w:cs="Arial"/>
          <w:sz w:val="24"/>
          <w:szCs w:val="24"/>
        </w:rPr>
        <w:t xml:space="preserve"> of SLAPP can be detrimental</w:t>
      </w:r>
      <w:r w:rsidR="00BC3235">
        <w:rPr>
          <w:rFonts w:ascii="Arial" w:hAnsi="Arial" w:cs="Arial"/>
          <w:sz w:val="24"/>
          <w:szCs w:val="24"/>
        </w:rPr>
        <w:t xml:space="preserve"> to the enforcement of environmental rights</w:t>
      </w:r>
      <w:r w:rsidR="00773D82">
        <w:rPr>
          <w:rFonts w:ascii="Arial" w:hAnsi="Arial" w:cs="Arial"/>
          <w:sz w:val="24"/>
          <w:szCs w:val="24"/>
        </w:rPr>
        <w:t xml:space="preserve"> and land use decisions</w:t>
      </w:r>
      <w:r w:rsidR="00BC3235">
        <w:rPr>
          <w:rFonts w:ascii="Arial" w:hAnsi="Arial" w:cs="Arial"/>
          <w:sz w:val="24"/>
          <w:szCs w:val="24"/>
        </w:rPr>
        <w:t xml:space="preserve">.  </w:t>
      </w:r>
      <w:r w:rsidR="00C67C57">
        <w:rPr>
          <w:rFonts w:ascii="Arial" w:hAnsi="Arial" w:cs="Arial"/>
          <w:sz w:val="24"/>
          <w:szCs w:val="24"/>
        </w:rPr>
        <w:t>The present matter arises in the context of debates about whether the mining companies have complied with their legal obligations and whether they have caused environmental damage. Matters such as this</w:t>
      </w:r>
      <w:r w:rsidR="00E6182A">
        <w:rPr>
          <w:rFonts w:ascii="Arial" w:hAnsi="Arial" w:cs="Arial"/>
          <w:sz w:val="24"/>
          <w:szCs w:val="24"/>
        </w:rPr>
        <w:t>,</w:t>
      </w:r>
      <w:r w:rsidR="00C67C57">
        <w:rPr>
          <w:rFonts w:ascii="Arial" w:hAnsi="Arial" w:cs="Arial"/>
          <w:sz w:val="24"/>
          <w:szCs w:val="24"/>
        </w:rPr>
        <w:t xml:space="preserve"> self-evidently require public engagement and public debate. The social and economic power of</w:t>
      </w:r>
      <w:r w:rsidR="00E6182A">
        <w:rPr>
          <w:rFonts w:ascii="Arial" w:hAnsi="Arial" w:cs="Arial"/>
          <w:sz w:val="24"/>
          <w:szCs w:val="24"/>
        </w:rPr>
        <w:t xml:space="preserve"> large trading corporations renders</w:t>
      </w:r>
      <w:r w:rsidR="00C67C57">
        <w:rPr>
          <w:rFonts w:ascii="Arial" w:hAnsi="Arial" w:cs="Arial"/>
          <w:sz w:val="24"/>
          <w:szCs w:val="24"/>
        </w:rPr>
        <w:t xml:space="preserve"> it critically important that they be open to public scrutiny without </w:t>
      </w:r>
      <w:r w:rsidR="00C67C57">
        <w:rPr>
          <w:rFonts w:ascii="Arial" w:hAnsi="Arial" w:cs="Arial"/>
          <w:sz w:val="24"/>
          <w:szCs w:val="24"/>
        </w:rPr>
        <w:lastRenderedPageBreak/>
        <w:t>the inhibiting</w:t>
      </w:r>
      <w:r w:rsidR="008D210F">
        <w:rPr>
          <w:rFonts w:ascii="Arial" w:hAnsi="Arial" w:cs="Arial"/>
          <w:sz w:val="24"/>
          <w:szCs w:val="24"/>
        </w:rPr>
        <w:t xml:space="preserve"> </w:t>
      </w:r>
      <w:r w:rsidR="00C67C57">
        <w:rPr>
          <w:rFonts w:ascii="Arial" w:hAnsi="Arial" w:cs="Arial"/>
          <w:sz w:val="24"/>
          <w:szCs w:val="24"/>
        </w:rPr>
        <w:t xml:space="preserve">risk of crippling liability for defamation. As recognised by Baroness Hale in </w:t>
      </w:r>
      <w:r w:rsidR="00C67C57" w:rsidRPr="00C67C57">
        <w:rPr>
          <w:rFonts w:ascii="Arial" w:hAnsi="Arial" w:cs="Arial"/>
          <w:b/>
          <w:sz w:val="24"/>
          <w:szCs w:val="24"/>
        </w:rPr>
        <w:t xml:space="preserve">Jameel (Mohamed) v Wall Street Journal </w:t>
      </w:r>
      <w:proofErr w:type="spellStart"/>
      <w:r w:rsidR="00C67C57" w:rsidRPr="00C67C57">
        <w:rPr>
          <w:rFonts w:ascii="Arial" w:hAnsi="Arial" w:cs="Arial"/>
          <w:b/>
          <w:sz w:val="24"/>
          <w:szCs w:val="24"/>
        </w:rPr>
        <w:t>Sprl</w:t>
      </w:r>
      <w:proofErr w:type="spellEnd"/>
      <w:r w:rsidR="00C67C57">
        <w:rPr>
          <w:rFonts w:ascii="Arial" w:hAnsi="Arial" w:cs="Arial"/>
          <w:sz w:val="24"/>
          <w:szCs w:val="24"/>
        </w:rPr>
        <w:t xml:space="preserve">: </w:t>
      </w:r>
    </w:p>
    <w:p w14:paraId="0A42C53B" w14:textId="77777777" w:rsidR="00C67C57" w:rsidRDefault="00C67C57" w:rsidP="00C67C57">
      <w:pPr>
        <w:pStyle w:val="ListParagraph"/>
        <w:spacing w:line="360" w:lineRule="auto"/>
        <w:jc w:val="both"/>
        <w:rPr>
          <w:rFonts w:ascii="Arial" w:hAnsi="Arial" w:cs="Arial"/>
          <w:i/>
          <w:sz w:val="24"/>
          <w:szCs w:val="24"/>
        </w:rPr>
      </w:pPr>
      <w:r>
        <w:rPr>
          <w:rFonts w:ascii="Arial" w:hAnsi="Arial" w:cs="Arial"/>
          <w:i/>
          <w:sz w:val="24"/>
          <w:szCs w:val="24"/>
        </w:rPr>
        <w:t>“The power wielded by the major multi-national corporations is enormous and growing. The freedom to criticise them may be at least as important in a democratic society as the freedom to criticise the government.”</w:t>
      </w:r>
      <w:r w:rsidR="00F47416">
        <w:rPr>
          <w:rStyle w:val="FootnoteReference"/>
          <w:rFonts w:ascii="Arial" w:hAnsi="Arial" w:cs="Arial"/>
          <w:i/>
          <w:sz w:val="24"/>
          <w:szCs w:val="24"/>
        </w:rPr>
        <w:footnoteReference w:id="62"/>
      </w:r>
    </w:p>
    <w:p w14:paraId="3E951278" w14:textId="77777777" w:rsidR="00C67C57" w:rsidRPr="00C67C57" w:rsidRDefault="00C67C57" w:rsidP="00C67C57">
      <w:pPr>
        <w:pStyle w:val="ListParagraph"/>
        <w:spacing w:line="360" w:lineRule="auto"/>
        <w:jc w:val="both"/>
        <w:rPr>
          <w:rFonts w:ascii="Arial" w:hAnsi="Arial" w:cs="Arial"/>
          <w:i/>
          <w:sz w:val="24"/>
          <w:szCs w:val="24"/>
        </w:rPr>
      </w:pPr>
    </w:p>
    <w:p w14:paraId="77F25B9C" w14:textId="77777777" w:rsidR="00A91CC7" w:rsidRDefault="00A91CC7" w:rsidP="00DA522D">
      <w:pPr>
        <w:pStyle w:val="ListParagraph"/>
        <w:spacing w:line="480" w:lineRule="auto"/>
        <w:ind w:left="0"/>
        <w:jc w:val="both"/>
        <w:rPr>
          <w:rFonts w:ascii="Arial" w:hAnsi="Arial" w:cs="Arial"/>
          <w:sz w:val="24"/>
          <w:szCs w:val="24"/>
        </w:rPr>
      </w:pPr>
    </w:p>
    <w:p w14:paraId="27B15D98" w14:textId="77777777" w:rsidR="00B25186" w:rsidRPr="00A91CC7" w:rsidRDefault="00EF4E27" w:rsidP="00A91CC7">
      <w:pPr>
        <w:pStyle w:val="ListParagraph"/>
        <w:spacing w:line="480" w:lineRule="auto"/>
        <w:ind w:left="0"/>
        <w:jc w:val="both"/>
        <w:rPr>
          <w:rFonts w:ascii="Arial" w:hAnsi="Arial" w:cs="Arial"/>
          <w:b/>
          <w:sz w:val="24"/>
          <w:szCs w:val="24"/>
        </w:rPr>
      </w:pPr>
      <w:r>
        <w:rPr>
          <w:rFonts w:ascii="Arial" w:hAnsi="Arial" w:cs="Arial"/>
          <w:sz w:val="24"/>
          <w:szCs w:val="24"/>
        </w:rPr>
        <w:t>[64</w:t>
      </w:r>
      <w:r w:rsidR="00A91CC7">
        <w:rPr>
          <w:rFonts w:ascii="Arial" w:hAnsi="Arial" w:cs="Arial"/>
          <w:sz w:val="24"/>
          <w:szCs w:val="24"/>
        </w:rPr>
        <w:t>]</w:t>
      </w:r>
      <w:r w:rsidR="00A91CC7">
        <w:rPr>
          <w:rFonts w:ascii="Arial" w:hAnsi="Arial" w:cs="Arial"/>
          <w:sz w:val="24"/>
          <w:szCs w:val="24"/>
        </w:rPr>
        <w:tab/>
      </w:r>
      <w:r w:rsidR="00BC3235">
        <w:rPr>
          <w:rFonts w:ascii="Arial" w:hAnsi="Arial" w:cs="Arial"/>
          <w:sz w:val="24"/>
          <w:szCs w:val="24"/>
        </w:rPr>
        <w:t>Individuals or NGO’s must have the freedom to resp</w:t>
      </w:r>
      <w:r w:rsidR="00E6182A">
        <w:rPr>
          <w:rFonts w:ascii="Arial" w:hAnsi="Arial" w:cs="Arial"/>
          <w:sz w:val="24"/>
          <w:szCs w:val="24"/>
        </w:rPr>
        <w:t>o</w:t>
      </w:r>
      <w:r w:rsidR="008E70E8">
        <w:rPr>
          <w:rFonts w:ascii="Arial" w:hAnsi="Arial" w:cs="Arial"/>
          <w:sz w:val="24"/>
          <w:szCs w:val="24"/>
        </w:rPr>
        <w:t xml:space="preserve">nd to issues affecting society, </w:t>
      </w:r>
      <w:r w:rsidR="00BC3235">
        <w:rPr>
          <w:rFonts w:ascii="Arial" w:hAnsi="Arial" w:cs="Arial"/>
          <w:sz w:val="24"/>
          <w:szCs w:val="24"/>
        </w:rPr>
        <w:t>such as those related to the environment and sustainable development.</w:t>
      </w:r>
      <w:r w:rsidR="00773D82" w:rsidRPr="00773D82">
        <w:rPr>
          <w:rFonts w:ascii="Arial" w:hAnsi="Arial" w:cs="Arial"/>
          <w:sz w:val="24"/>
          <w:szCs w:val="24"/>
        </w:rPr>
        <w:t xml:space="preserve"> </w:t>
      </w:r>
      <w:r w:rsidR="00773D82">
        <w:rPr>
          <w:rFonts w:ascii="Arial" w:hAnsi="Arial" w:cs="Arial"/>
          <w:sz w:val="24"/>
          <w:szCs w:val="24"/>
        </w:rPr>
        <w:t xml:space="preserve">In instances where corporates could be the main cause of damaging </w:t>
      </w:r>
      <w:r w:rsidR="00E6182A">
        <w:rPr>
          <w:rFonts w:ascii="Arial" w:hAnsi="Arial" w:cs="Arial"/>
          <w:sz w:val="24"/>
          <w:szCs w:val="24"/>
        </w:rPr>
        <w:t>and destructive behaviour of the</w:t>
      </w:r>
      <w:r w:rsidR="00773D82">
        <w:rPr>
          <w:rFonts w:ascii="Arial" w:hAnsi="Arial" w:cs="Arial"/>
          <w:sz w:val="24"/>
          <w:szCs w:val="24"/>
        </w:rPr>
        <w:t xml:space="preserve"> environment and biodiversity, civil society should be allowed to confront and restrain such behaviour.</w:t>
      </w:r>
      <w:r w:rsidR="00B72AEB" w:rsidRPr="00B72AEB">
        <w:rPr>
          <w:rFonts w:ascii="Arial" w:hAnsi="Arial" w:cs="Arial"/>
          <w:sz w:val="24"/>
          <w:szCs w:val="24"/>
        </w:rPr>
        <w:t xml:space="preserve"> </w:t>
      </w:r>
      <w:r w:rsidR="008D210F" w:rsidRPr="00A91CC7">
        <w:rPr>
          <w:rFonts w:ascii="Arial" w:hAnsi="Arial" w:cs="Arial"/>
          <w:sz w:val="24"/>
          <w:szCs w:val="24"/>
        </w:rPr>
        <w:t xml:space="preserve">Litigation of this nature </w:t>
      </w:r>
      <w:r w:rsidR="00B72AEB" w:rsidRPr="00A91CC7">
        <w:rPr>
          <w:rFonts w:ascii="Arial" w:hAnsi="Arial" w:cs="Arial"/>
          <w:sz w:val="24"/>
          <w:szCs w:val="24"/>
        </w:rPr>
        <w:t xml:space="preserve">pose a serious threat to the defendants’ participation in </w:t>
      </w:r>
      <w:r w:rsidR="008D210F" w:rsidRPr="00A91CC7">
        <w:rPr>
          <w:rFonts w:ascii="Arial" w:hAnsi="Arial" w:cs="Arial"/>
          <w:sz w:val="24"/>
          <w:szCs w:val="24"/>
        </w:rPr>
        <w:t>matters of public importance, particularly</w:t>
      </w:r>
      <w:r w:rsidR="00B72AEB" w:rsidRPr="00A91CC7">
        <w:rPr>
          <w:rFonts w:ascii="Arial" w:hAnsi="Arial" w:cs="Arial"/>
          <w:sz w:val="24"/>
          <w:szCs w:val="24"/>
        </w:rPr>
        <w:t xml:space="preserve"> envi</w:t>
      </w:r>
      <w:r w:rsidR="008D210F" w:rsidRPr="00A91CC7">
        <w:rPr>
          <w:rFonts w:ascii="Arial" w:hAnsi="Arial" w:cs="Arial"/>
          <w:sz w:val="24"/>
          <w:szCs w:val="24"/>
        </w:rPr>
        <w:t>ronmental issues</w:t>
      </w:r>
      <w:r w:rsidR="008C6F49">
        <w:rPr>
          <w:rStyle w:val="FootnoteReference"/>
          <w:rFonts w:ascii="Arial" w:hAnsi="Arial" w:cs="Arial"/>
          <w:sz w:val="24"/>
          <w:szCs w:val="24"/>
        </w:rPr>
        <w:footnoteReference w:id="63"/>
      </w:r>
      <w:r w:rsidR="00B72AEB" w:rsidRPr="00A91CC7">
        <w:rPr>
          <w:rFonts w:ascii="Arial" w:hAnsi="Arial" w:cs="Arial"/>
          <w:sz w:val="24"/>
          <w:szCs w:val="24"/>
        </w:rPr>
        <w:t>.</w:t>
      </w:r>
      <w:r w:rsidR="00A91CC7">
        <w:rPr>
          <w:rFonts w:ascii="Arial" w:hAnsi="Arial" w:cs="Arial"/>
          <w:sz w:val="24"/>
          <w:szCs w:val="24"/>
        </w:rPr>
        <w:t xml:space="preserve"> </w:t>
      </w:r>
      <w:r w:rsidR="00452E3E">
        <w:rPr>
          <w:rFonts w:ascii="Arial" w:hAnsi="Arial" w:cs="Arial"/>
          <w:sz w:val="24"/>
          <w:szCs w:val="24"/>
        </w:rPr>
        <w:t>Public dialogue and debate with broad participation on matters of public interests, such as the environment must be protected</w:t>
      </w:r>
      <w:r w:rsidR="00E6182A">
        <w:rPr>
          <w:rFonts w:ascii="Arial" w:hAnsi="Arial" w:cs="Arial"/>
          <w:sz w:val="24"/>
          <w:szCs w:val="24"/>
        </w:rPr>
        <w:t xml:space="preserve"> and encouraged</w:t>
      </w:r>
      <w:r w:rsidR="00452E3E">
        <w:rPr>
          <w:rFonts w:ascii="Arial" w:hAnsi="Arial" w:cs="Arial"/>
          <w:sz w:val="24"/>
          <w:szCs w:val="24"/>
        </w:rPr>
        <w:t>. Any legal action aimed at stifl</w:t>
      </w:r>
      <w:r w:rsidR="00E6182A">
        <w:rPr>
          <w:rFonts w:ascii="Arial" w:hAnsi="Arial" w:cs="Arial"/>
          <w:sz w:val="24"/>
          <w:szCs w:val="24"/>
        </w:rPr>
        <w:t>ing public discourse and impairing</w:t>
      </w:r>
      <w:r w:rsidR="00452E3E">
        <w:rPr>
          <w:rFonts w:ascii="Arial" w:hAnsi="Arial" w:cs="Arial"/>
          <w:sz w:val="24"/>
          <w:szCs w:val="24"/>
        </w:rPr>
        <w:t xml:space="preserve"> public debates should be discouraged. </w:t>
      </w:r>
    </w:p>
    <w:p w14:paraId="5A6055AD" w14:textId="77777777" w:rsidR="00B25186" w:rsidRDefault="00B25186" w:rsidP="00452E3E">
      <w:pPr>
        <w:spacing w:after="0" w:line="480" w:lineRule="auto"/>
        <w:jc w:val="both"/>
        <w:rPr>
          <w:rFonts w:ascii="Arial" w:hAnsi="Arial" w:cs="Arial"/>
          <w:sz w:val="24"/>
          <w:szCs w:val="24"/>
        </w:rPr>
      </w:pPr>
    </w:p>
    <w:p w14:paraId="3CC3B64C" w14:textId="77777777" w:rsidR="00452E3E" w:rsidRDefault="00EF4E27" w:rsidP="00452E3E">
      <w:pPr>
        <w:spacing w:after="0" w:line="480" w:lineRule="auto"/>
        <w:jc w:val="both"/>
        <w:rPr>
          <w:rFonts w:ascii="Arial" w:hAnsi="Arial" w:cs="Arial"/>
          <w:sz w:val="24"/>
          <w:szCs w:val="24"/>
        </w:rPr>
      </w:pPr>
      <w:r>
        <w:rPr>
          <w:rFonts w:ascii="Arial" w:hAnsi="Arial" w:cs="Arial"/>
          <w:sz w:val="24"/>
          <w:szCs w:val="24"/>
        </w:rPr>
        <w:t>[65</w:t>
      </w:r>
      <w:r w:rsidR="00452E3E">
        <w:rPr>
          <w:rFonts w:ascii="Arial" w:hAnsi="Arial" w:cs="Arial"/>
          <w:sz w:val="24"/>
          <w:szCs w:val="24"/>
        </w:rPr>
        <w:t>]</w:t>
      </w:r>
      <w:r w:rsidR="00452E3E">
        <w:rPr>
          <w:rFonts w:ascii="Arial" w:hAnsi="Arial" w:cs="Arial"/>
          <w:sz w:val="24"/>
          <w:szCs w:val="24"/>
        </w:rPr>
        <w:tab/>
      </w:r>
      <w:r w:rsidR="002E2325">
        <w:rPr>
          <w:rFonts w:ascii="Arial" w:hAnsi="Arial" w:cs="Arial"/>
          <w:sz w:val="24"/>
          <w:szCs w:val="24"/>
        </w:rPr>
        <w:t>South African law do</w:t>
      </w:r>
      <w:r w:rsidR="00052B87">
        <w:rPr>
          <w:rFonts w:ascii="Arial" w:hAnsi="Arial" w:cs="Arial"/>
          <w:sz w:val="24"/>
          <w:szCs w:val="24"/>
        </w:rPr>
        <w:t>es</w:t>
      </w:r>
      <w:r w:rsidR="002E2325">
        <w:rPr>
          <w:rFonts w:ascii="Arial" w:hAnsi="Arial" w:cs="Arial"/>
          <w:sz w:val="24"/>
          <w:szCs w:val="24"/>
        </w:rPr>
        <w:t xml:space="preserve"> not</w:t>
      </w:r>
      <w:r w:rsidR="00052B87">
        <w:rPr>
          <w:rFonts w:ascii="Arial" w:hAnsi="Arial" w:cs="Arial"/>
          <w:sz w:val="24"/>
          <w:szCs w:val="24"/>
        </w:rPr>
        <w:t xml:space="preserve"> have specific legislative mechanisms</w:t>
      </w:r>
      <w:r w:rsidR="00B25186">
        <w:rPr>
          <w:rFonts w:ascii="Arial" w:hAnsi="Arial" w:cs="Arial"/>
          <w:sz w:val="24"/>
          <w:szCs w:val="24"/>
        </w:rPr>
        <w:t xml:space="preserve"> to deal with SLAPP suits</w:t>
      </w:r>
      <w:r w:rsidR="002E2325">
        <w:rPr>
          <w:rFonts w:ascii="Arial" w:hAnsi="Arial" w:cs="Arial"/>
          <w:sz w:val="24"/>
          <w:szCs w:val="24"/>
        </w:rPr>
        <w:t>.</w:t>
      </w:r>
      <w:r w:rsidR="00B25186">
        <w:rPr>
          <w:rFonts w:ascii="Arial" w:hAnsi="Arial" w:cs="Arial"/>
          <w:sz w:val="24"/>
          <w:szCs w:val="24"/>
        </w:rPr>
        <w:t xml:space="preserve"> In the absence of anti-SLAPP legislation, courts have limitations to cure the symptoms of SLAPP.</w:t>
      </w:r>
      <w:r w:rsidR="002E2325">
        <w:rPr>
          <w:rFonts w:ascii="Arial" w:hAnsi="Arial" w:cs="Arial"/>
          <w:sz w:val="24"/>
          <w:szCs w:val="24"/>
        </w:rPr>
        <w:t xml:space="preserve"> </w:t>
      </w:r>
      <w:r w:rsidR="008D210F">
        <w:rPr>
          <w:rFonts w:ascii="Arial" w:hAnsi="Arial" w:cs="Arial"/>
          <w:sz w:val="24"/>
          <w:szCs w:val="24"/>
        </w:rPr>
        <w:t>This lack of a legal framework could be exploited by corporat</w:t>
      </w:r>
      <w:r w:rsidR="00A91CC7">
        <w:rPr>
          <w:rFonts w:ascii="Arial" w:hAnsi="Arial" w:cs="Arial"/>
          <w:sz w:val="24"/>
          <w:szCs w:val="24"/>
        </w:rPr>
        <w:t>es</w:t>
      </w:r>
      <w:r w:rsidR="00E6182A">
        <w:rPr>
          <w:rFonts w:ascii="Arial" w:hAnsi="Arial" w:cs="Arial"/>
          <w:sz w:val="24"/>
          <w:szCs w:val="24"/>
        </w:rPr>
        <w:t>, and in the process render civil society</w:t>
      </w:r>
      <w:r w:rsidR="00F47416">
        <w:rPr>
          <w:rFonts w:ascii="Arial" w:hAnsi="Arial" w:cs="Arial"/>
          <w:sz w:val="24"/>
          <w:szCs w:val="24"/>
        </w:rPr>
        <w:t xml:space="preserve"> vulnerable when they</w:t>
      </w:r>
      <w:r w:rsidR="00A91CC7">
        <w:rPr>
          <w:rFonts w:ascii="Arial" w:hAnsi="Arial" w:cs="Arial"/>
          <w:sz w:val="24"/>
          <w:szCs w:val="24"/>
        </w:rPr>
        <w:t xml:space="preserve"> embark on pursuing legal challenges and raising legal defences. </w:t>
      </w:r>
      <w:r w:rsidR="008D210F">
        <w:rPr>
          <w:rFonts w:ascii="Arial" w:hAnsi="Arial" w:cs="Arial"/>
          <w:sz w:val="24"/>
          <w:szCs w:val="24"/>
        </w:rPr>
        <w:t xml:space="preserve">This contributes to the success </w:t>
      </w:r>
      <w:r w:rsidR="008D210F">
        <w:rPr>
          <w:rFonts w:ascii="Arial" w:hAnsi="Arial" w:cs="Arial"/>
          <w:sz w:val="24"/>
          <w:szCs w:val="24"/>
        </w:rPr>
        <w:lastRenderedPageBreak/>
        <w:t xml:space="preserve">of the SLAPP, since such legal challenges and defences has a draining effect on public </w:t>
      </w:r>
      <w:r w:rsidR="00E6182A">
        <w:rPr>
          <w:rFonts w:ascii="Arial" w:hAnsi="Arial" w:cs="Arial"/>
          <w:sz w:val="24"/>
          <w:szCs w:val="24"/>
        </w:rPr>
        <w:t xml:space="preserve">purse and </w:t>
      </w:r>
      <w:r w:rsidR="008D210F">
        <w:rPr>
          <w:rFonts w:ascii="Arial" w:hAnsi="Arial" w:cs="Arial"/>
          <w:sz w:val="24"/>
          <w:szCs w:val="24"/>
        </w:rPr>
        <w:t xml:space="preserve">participation. </w:t>
      </w:r>
      <w:r w:rsidR="00052B87">
        <w:rPr>
          <w:rFonts w:ascii="Arial" w:hAnsi="Arial" w:cs="Arial"/>
          <w:sz w:val="24"/>
          <w:szCs w:val="24"/>
        </w:rPr>
        <w:t xml:space="preserve">However, the interests of justice should not be compromised due to a lacuna or the lack of legislative framework. </w:t>
      </w:r>
    </w:p>
    <w:p w14:paraId="3B356364" w14:textId="77777777" w:rsidR="00FA6F2F" w:rsidRDefault="00FA6F2F" w:rsidP="00452E3E">
      <w:pPr>
        <w:spacing w:after="0" w:line="480" w:lineRule="auto"/>
        <w:jc w:val="both"/>
        <w:rPr>
          <w:rFonts w:ascii="Arial" w:hAnsi="Arial" w:cs="Arial"/>
          <w:sz w:val="24"/>
          <w:szCs w:val="24"/>
        </w:rPr>
      </w:pPr>
    </w:p>
    <w:p w14:paraId="0A32CEBF" w14:textId="77777777" w:rsidR="00FA6F2F" w:rsidRPr="00FA6F2F" w:rsidRDefault="00FA6F2F" w:rsidP="00452E3E">
      <w:pPr>
        <w:spacing w:after="0" w:line="480" w:lineRule="auto"/>
        <w:jc w:val="both"/>
        <w:rPr>
          <w:rFonts w:ascii="Arial" w:hAnsi="Arial" w:cs="Arial"/>
          <w:b/>
          <w:sz w:val="24"/>
          <w:szCs w:val="24"/>
          <w:u w:val="single"/>
        </w:rPr>
      </w:pPr>
      <w:r w:rsidRPr="00FA6F2F">
        <w:rPr>
          <w:rFonts w:ascii="Arial" w:hAnsi="Arial" w:cs="Arial"/>
          <w:b/>
          <w:sz w:val="24"/>
          <w:szCs w:val="24"/>
          <w:u w:val="single"/>
        </w:rPr>
        <w:t>Conclusion</w:t>
      </w:r>
    </w:p>
    <w:p w14:paraId="5A321993" w14:textId="77777777" w:rsidR="00452E3E" w:rsidRDefault="00452E3E" w:rsidP="00C9726C">
      <w:pPr>
        <w:spacing w:after="0" w:line="480" w:lineRule="auto"/>
        <w:jc w:val="both"/>
        <w:rPr>
          <w:rFonts w:ascii="Arial" w:hAnsi="Arial" w:cs="Arial"/>
          <w:sz w:val="24"/>
          <w:szCs w:val="24"/>
        </w:rPr>
      </w:pPr>
    </w:p>
    <w:p w14:paraId="4F0C1257" w14:textId="77777777" w:rsidR="00DA001F" w:rsidRDefault="00EF4E27" w:rsidP="003F24B9">
      <w:pPr>
        <w:spacing w:after="0" w:line="480" w:lineRule="auto"/>
        <w:jc w:val="both"/>
        <w:rPr>
          <w:rFonts w:ascii="Arial" w:hAnsi="Arial" w:cs="Arial"/>
          <w:sz w:val="24"/>
          <w:szCs w:val="24"/>
        </w:rPr>
      </w:pPr>
      <w:r>
        <w:rPr>
          <w:rFonts w:ascii="Arial" w:hAnsi="Arial" w:cs="Arial"/>
          <w:sz w:val="24"/>
          <w:szCs w:val="24"/>
        </w:rPr>
        <w:t>[66</w:t>
      </w:r>
      <w:r w:rsidR="00264F38">
        <w:rPr>
          <w:rFonts w:ascii="Arial" w:hAnsi="Arial" w:cs="Arial"/>
          <w:sz w:val="24"/>
          <w:szCs w:val="24"/>
        </w:rPr>
        <w:t>]</w:t>
      </w:r>
      <w:r w:rsidR="00264F38">
        <w:rPr>
          <w:rFonts w:ascii="Arial" w:hAnsi="Arial" w:cs="Arial"/>
          <w:sz w:val="24"/>
          <w:szCs w:val="24"/>
        </w:rPr>
        <w:tab/>
      </w:r>
      <w:r w:rsidR="003F24B9">
        <w:rPr>
          <w:rFonts w:ascii="Arial" w:hAnsi="Arial" w:cs="Arial"/>
          <w:sz w:val="24"/>
          <w:szCs w:val="24"/>
        </w:rPr>
        <w:t>It is trite that legal process is abused when it is used for a purpose other than that for what it has been intended or designed for. Corporations s</w:t>
      </w:r>
      <w:r w:rsidR="00584561">
        <w:rPr>
          <w:rFonts w:ascii="Arial" w:hAnsi="Arial" w:cs="Arial"/>
          <w:sz w:val="24"/>
          <w:szCs w:val="24"/>
        </w:rPr>
        <w:t xml:space="preserve">hould not be allowed to </w:t>
      </w:r>
      <w:proofErr w:type="spellStart"/>
      <w:r w:rsidR="00584561">
        <w:rPr>
          <w:rFonts w:ascii="Arial" w:hAnsi="Arial" w:cs="Arial"/>
          <w:sz w:val="24"/>
          <w:szCs w:val="24"/>
        </w:rPr>
        <w:t>weaponis</w:t>
      </w:r>
      <w:r w:rsidR="003F24B9">
        <w:rPr>
          <w:rFonts w:ascii="Arial" w:hAnsi="Arial" w:cs="Arial"/>
          <w:sz w:val="24"/>
          <w:szCs w:val="24"/>
        </w:rPr>
        <w:t>e</w:t>
      </w:r>
      <w:proofErr w:type="spellEnd"/>
      <w:r w:rsidR="003F24B9">
        <w:rPr>
          <w:rFonts w:ascii="Arial" w:hAnsi="Arial" w:cs="Arial"/>
          <w:sz w:val="24"/>
          <w:szCs w:val="24"/>
        </w:rPr>
        <w:t xml:space="preserve"> our legal system against the ordinary citizen </w:t>
      </w:r>
      <w:r w:rsidR="00E6182A">
        <w:rPr>
          <w:rFonts w:ascii="Arial" w:hAnsi="Arial" w:cs="Arial"/>
          <w:sz w:val="24"/>
          <w:szCs w:val="24"/>
        </w:rPr>
        <w:t xml:space="preserve">and </w:t>
      </w:r>
      <w:r w:rsidR="003F24B9">
        <w:rPr>
          <w:rFonts w:ascii="Arial" w:hAnsi="Arial" w:cs="Arial"/>
          <w:sz w:val="24"/>
          <w:szCs w:val="24"/>
        </w:rPr>
        <w:t xml:space="preserve">activists in order to intimidate and silence them. It appears that the defamation suit is not genuine and </w:t>
      </w:r>
      <w:r w:rsidR="003F24B9" w:rsidRPr="009E25A0">
        <w:rPr>
          <w:rFonts w:ascii="Arial" w:hAnsi="Arial" w:cs="Arial"/>
          <w:i/>
          <w:sz w:val="24"/>
          <w:szCs w:val="24"/>
        </w:rPr>
        <w:t>bona fide</w:t>
      </w:r>
      <w:r w:rsidR="003F24B9">
        <w:rPr>
          <w:rFonts w:ascii="Arial" w:hAnsi="Arial" w:cs="Arial"/>
          <w:sz w:val="24"/>
          <w:szCs w:val="24"/>
        </w:rPr>
        <w:t xml:space="preserve">, but merely a pretext with the only purpose to silence its </w:t>
      </w:r>
      <w:r w:rsidR="00E6182A">
        <w:rPr>
          <w:rFonts w:ascii="Arial" w:hAnsi="Arial" w:cs="Arial"/>
          <w:sz w:val="24"/>
          <w:szCs w:val="24"/>
        </w:rPr>
        <w:t xml:space="preserve">opponents and </w:t>
      </w:r>
      <w:r w:rsidR="003F24B9">
        <w:rPr>
          <w:rFonts w:ascii="Arial" w:hAnsi="Arial" w:cs="Arial"/>
          <w:sz w:val="24"/>
          <w:szCs w:val="24"/>
        </w:rPr>
        <w:t>critics.  Litigation that is not aimed at vindicating legitimate rights, but is part of a broad and purposeful strategy to intimidate, distract and silence public criticism, constitutes an improper use of the judicial process</w:t>
      </w:r>
      <w:r w:rsidR="00E6182A">
        <w:rPr>
          <w:rFonts w:ascii="Arial" w:hAnsi="Arial" w:cs="Arial"/>
          <w:sz w:val="24"/>
          <w:szCs w:val="24"/>
        </w:rPr>
        <w:t xml:space="preserve"> and is vexatious</w:t>
      </w:r>
      <w:r w:rsidR="003F24B9">
        <w:rPr>
          <w:rFonts w:ascii="Arial" w:hAnsi="Arial" w:cs="Arial"/>
          <w:sz w:val="24"/>
          <w:szCs w:val="24"/>
        </w:rPr>
        <w:t xml:space="preserve">. The improper use </w:t>
      </w:r>
      <w:r w:rsidR="00E6182A">
        <w:rPr>
          <w:rFonts w:ascii="Arial" w:hAnsi="Arial" w:cs="Arial"/>
          <w:sz w:val="24"/>
          <w:szCs w:val="24"/>
        </w:rPr>
        <w:t xml:space="preserve">and abuse </w:t>
      </w:r>
      <w:r w:rsidR="003F24B9">
        <w:rPr>
          <w:rFonts w:ascii="Arial" w:hAnsi="Arial" w:cs="Arial"/>
          <w:sz w:val="24"/>
          <w:szCs w:val="24"/>
        </w:rPr>
        <w:t>of the judicial process interferes with due administration of justice and undermines fundamental notions of justice and the integrity of our judicial process.</w:t>
      </w:r>
      <w:r w:rsidR="003F24B9" w:rsidRPr="003F24B9">
        <w:rPr>
          <w:rFonts w:ascii="Arial" w:hAnsi="Arial" w:cs="Arial"/>
          <w:sz w:val="24"/>
          <w:szCs w:val="24"/>
        </w:rPr>
        <w:t xml:space="preserve"> </w:t>
      </w:r>
      <w:r w:rsidR="003F24B9">
        <w:rPr>
          <w:rFonts w:ascii="Arial" w:hAnsi="Arial" w:cs="Arial"/>
          <w:sz w:val="24"/>
          <w:szCs w:val="24"/>
        </w:rPr>
        <w:t xml:space="preserve">SLAPP suits constitute an abuse of process, and is inconsistent with our constitutional </w:t>
      </w:r>
      <w:r w:rsidR="00E6182A">
        <w:rPr>
          <w:rFonts w:ascii="Arial" w:hAnsi="Arial" w:cs="Arial"/>
          <w:sz w:val="24"/>
          <w:szCs w:val="24"/>
        </w:rPr>
        <w:t xml:space="preserve">values and </w:t>
      </w:r>
      <w:r w:rsidR="003F24B9">
        <w:rPr>
          <w:rFonts w:ascii="Arial" w:hAnsi="Arial" w:cs="Arial"/>
          <w:sz w:val="24"/>
          <w:szCs w:val="24"/>
        </w:rPr>
        <w:t>scheme.</w:t>
      </w:r>
    </w:p>
    <w:p w14:paraId="1D2869B3" w14:textId="77777777" w:rsidR="003F24B9" w:rsidRDefault="003F24B9" w:rsidP="00052B87">
      <w:pPr>
        <w:spacing w:after="0" w:line="480" w:lineRule="auto"/>
        <w:jc w:val="both"/>
        <w:rPr>
          <w:rFonts w:ascii="Arial" w:hAnsi="Arial" w:cs="Arial"/>
          <w:sz w:val="24"/>
          <w:szCs w:val="24"/>
        </w:rPr>
      </w:pPr>
    </w:p>
    <w:p w14:paraId="326BC68E" w14:textId="77777777" w:rsidR="00F34340" w:rsidRDefault="003D17AB" w:rsidP="00BC3235">
      <w:pPr>
        <w:spacing w:after="0" w:line="480" w:lineRule="auto"/>
        <w:jc w:val="both"/>
        <w:rPr>
          <w:rFonts w:ascii="Arial" w:hAnsi="Arial" w:cs="Arial"/>
          <w:sz w:val="24"/>
          <w:szCs w:val="24"/>
        </w:rPr>
      </w:pPr>
      <w:r>
        <w:rPr>
          <w:rFonts w:ascii="Arial" w:hAnsi="Arial" w:cs="Arial"/>
          <w:sz w:val="24"/>
          <w:szCs w:val="24"/>
        </w:rPr>
        <w:t>[</w:t>
      </w:r>
      <w:r w:rsidR="00840892">
        <w:rPr>
          <w:rFonts w:ascii="Arial" w:hAnsi="Arial" w:cs="Arial"/>
          <w:sz w:val="24"/>
          <w:szCs w:val="24"/>
        </w:rPr>
        <w:t>6</w:t>
      </w:r>
      <w:r w:rsidR="00EF4E27">
        <w:rPr>
          <w:rFonts w:ascii="Arial" w:hAnsi="Arial" w:cs="Arial"/>
          <w:sz w:val="24"/>
          <w:szCs w:val="24"/>
        </w:rPr>
        <w:t>7</w:t>
      </w:r>
      <w:r w:rsidR="003D6F38">
        <w:rPr>
          <w:rFonts w:ascii="Arial" w:hAnsi="Arial" w:cs="Arial"/>
          <w:sz w:val="24"/>
          <w:szCs w:val="24"/>
        </w:rPr>
        <w:t>]</w:t>
      </w:r>
      <w:r w:rsidR="003D6F38">
        <w:rPr>
          <w:rFonts w:ascii="Arial" w:hAnsi="Arial" w:cs="Arial"/>
          <w:sz w:val="24"/>
          <w:szCs w:val="24"/>
        </w:rPr>
        <w:tab/>
        <w:t>The right to freedom of expression, robust public debate and the ability to participate in public debates without fear is essential in a</w:t>
      </w:r>
      <w:r w:rsidR="00E6182A">
        <w:rPr>
          <w:rFonts w:ascii="Arial" w:hAnsi="Arial" w:cs="Arial"/>
          <w:sz w:val="24"/>
          <w:szCs w:val="24"/>
        </w:rPr>
        <w:t>ny</w:t>
      </w:r>
      <w:r w:rsidR="003D6F38">
        <w:rPr>
          <w:rFonts w:ascii="Arial" w:hAnsi="Arial" w:cs="Arial"/>
          <w:sz w:val="24"/>
          <w:szCs w:val="24"/>
        </w:rPr>
        <w:t xml:space="preserve"> democratic society. </w:t>
      </w:r>
      <w:r w:rsidR="00DA001F">
        <w:rPr>
          <w:rFonts w:ascii="Arial" w:hAnsi="Arial" w:cs="Arial"/>
          <w:sz w:val="24"/>
          <w:szCs w:val="24"/>
        </w:rPr>
        <w:t>I am accordingly satisfied that this action</w:t>
      </w:r>
      <w:r w:rsidR="0030624A">
        <w:rPr>
          <w:rFonts w:ascii="Arial" w:hAnsi="Arial" w:cs="Arial"/>
          <w:sz w:val="24"/>
          <w:szCs w:val="24"/>
        </w:rPr>
        <w:t xml:space="preserve"> </w:t>
      </w:r>
      <w:r w:rsidR="008A3A15">
        <w:rPr>
          <w:rFonts w:ascii="Arial" w:hAnsi="Arial" w:cs="Arial"/>
          <w:sz w:val="24"/>
          <w:szCs w:val="24"/>
        </w:rPr>
        <w:t xml:space="preserve">matches the DNA of a SLAPP suit. Consequently, </w:t>
      </w:r>
      <w:r w:rsidR="00DA001F">
        <w:rPr>
          <w:rFonts w:ascii="Arial" w:hAnsi="Arial" w:cs="Arial"/>
          <w:sz w:val="24"/>
          <w:szCs w:val="24"/>
        </w:rPr>
        <w:t xml:space="preserve">the first set </w:t>
      </w:r>
      <w:r w:rsidR="008A3A15">
        <w:rPr>
          <w:rFonts w:ascii="Arial" w:hAnsi="Arial" w:cs="Arial"/>
          <w:sz w:val="24"/>
          <w:szCs w:val="24"/>
        </w:rPr>
        <w:t>of special pleas (the SLAPP suit defence) constitute</w:t>
      </w:r>
      <w:r w:rsidR="00CE65E9">
        <w:rPr>
          <w:rFonts w:ascii="Arial" w:hAnsi="Arial" w:cs="Arial"/>
          <w:sz w:val="24"/>
          <w:szCs w:val="24"/>
        </w:rPr>
        <w:t xml:space="preserve"> a valid defence to the action, and the first set of exceptions falls to be dismissed.</w:t>
      </w:r>
    </w:p>
    <w:p w14:paraId="6BACF6D9" w14:textId="77777777" w:rsidR="006D7889" w:rsidRDefault="006D7889" w:rsidP="00BC3235">
      <w:pPr>
        <w:spacing w:after="0" w:line="480" w:lineRule="auto"/>
        <w:jc w:val="both"/>
        <w:rPr>
          <w:rFonts w:ascii="Arial" w:hAnsi="Arial" w:cs="Arial"/>
          <w:sz w:val="24"/>
          <w:szCs w:val="24"/>
        </w:rPr>
      </w:pPr>
    </w:p>
    <w:p w14:paraId="6586C4B0" w14:textId="77777777" w:rsidR="00F34340" w:rsidRDefault="00EF4E27" w:rsidP="00BC3235">
      <w:pPr>
        <w:spacing w:after="0" w:line="480" w:lineRule="auto"/>
        <w:jc w:val="both"/>
        <w:rPr>
          <w:rFonts w:ascii="Arial" w:hAnsi="Arial" w:cs="Arial"/>
          <w:sz w:val="24"/>
          <w:szCs w:val="24"/>
        </w:rPr>
      </w:pPr>
      <w:r>
        <w:rPr>
          <w:rFonts w:ascii="Arial" w:hAnsi="Arial" w:cs="Arial"/>
          <w:sz w:val="24"/>
          <w:szCs w:val="24"/>
        </w:rPr>
        <w:lastRenderedPageBreak/>
        <w:t>[68</w:t>
      </w:r>
      <w:r w:rsidR="006D7889">
        <w:rPr>
          <w:rFonts w:ascii="Arial" w:hAnsi="Arial" w:cs="Arial"/>
          <w:sz w:val="24"/>
          <w:szCs w:val="24"/>
        </w:rPr>
        <w:t>]</w:t>
      </w:r>
      <w:r w:rsidR="006D7889">
        <w:rPr>
          <w:rFonts w:ascii="Arial" w:hAnsi="Arial" w:cs="Arial"/>
          <w:sz w:val="24"/>
          <w:szCs w:val="24"/>
        </w:rPr>
        <w:tab/>
        <w:t xml:space="preserve">In view of the court’s findings, I do not deem it necessary to deal with the issues relating to the development of the common law. With regard to costs, I am of the view that the issues raised by the defendants are novel, involved a matter of public interest and is of genuine constitutional import. The </w:t>
      </w:r>
      <w:proofErr w:type="spellStart"/>
      <w:r w:rsidR="006D7889">
        <w:rPr>
          <w:rFonts w:ascii="Arial" w:hAnsi="Arial" w:cs="Arial"/>
          <w:sz w:val="24"/>
          <w:szCs w:val="24"/>
        </w:rPr>
        <w:t>Biowatch</w:t>
      </w:r>
      <w:proofErr w:type="spellEnd"/>
      <w:r w:rsidR="006D7889">
        <w:rPr>
          <w:rStyle w:val="FootnoteReference"/>
          <w:rFonts w:ascii="Arial" w:hAnsi="Arial" w:cs="Arial"/>
          <w:sz w:val="24"/>
          <w:szCs w:val="24"/>
        </w:rPr>
        <w:footnoteReference w:id="64"/>
      </w:r>
      <w:r w:rsidR="006D7889">
        <w:rPr>
          <w:rFonts w:ascii="Arial" w:hAnsi="Arial" w:cs="Arial"/>
          <w:sz w:val="24"/>
          <w:szCs w:val="24"/>
        </w:rPr>
        <w:t xml:space="preserve"> principle must prevail.</w:t>
      </w:r>
    </w:p>
    <w:p w14:paraId="7E347677" w14:textId="77777777" w:rsidR="00052B87" w:rsidRDefault="00052B87" w:rsidP="00BC3235">
      <w:pPr>
        <w:spacing w:after="0" w:line="480" w:lineRule="auto"/>
        <w:jc w:val="both"/>
        <w:rPr>
          <w:rFonts w:ascii="Arial" w:hAnsi="Arial" w:cs="Arial"/>
          <w:sz w:val="24"/>
          <w:szCs w:val="24"/>
        </w:rPr>
      </w:pPr>
    </w:p>
    <w:p w14:paraId="3DB1ADF7" w14:textId="77777777" w:rsidR="0063192E" w:rsidRPr="00A51D02" w:rsidRDefault="00EF4E27" w:rsidP="00BC3235">
      <w:pPr>
        <w:spacing w:after="0" w:line="480" w:lineRule="auto"/>
        <w:jc w:val="both"/>
        <w:rPr>
          <w:rFonts w:ascii="Arial" w:hAnsi="Arial" w:cs="Arial"/>
          <w:b/>
          <w:sz w:val="24"/>
          <w:szCs w:val="24"/>
        </w:rPr>
      </w:pPr>
      <w:r>
        <w:rPr>
          <w:rFonts w:ascii="Arial" w:hAnsi="Arial" w:cs="Arial"/>
          <w:sz w:val="24"/>
          <w:szCs w:val="24"/>
        </w:rPr>
        <w:t>[69</w:t>
      </w:r>
      <w:r w:rsidR="00A51D02">
        <w:rPr>
          <w:rFonts w:ascii="Arial" w:hAnsi="Arial" w:cs="Arial"/>
          <w:sz w:val="24"/>
          <w:szCs w:val="24"/>
        </w:rPr>
        <w:t>]</w:t>
      </w:r>
      <w:r w:rsidR="00A51D02">
        <w:rPr>
          <w:rFonts w:ascii="Arial" w:hAnsi="Arial" w:cs="Arial"/>
          <w:sz w:val="24"/>
          <w:szCs w:val="24"/>
        </w:rPr>
        <w:tab/>
      </w:r>
      <w:r w:rsidR="00A51D02" w:rsidRPr="00A51D02">
        <w:rPr>
          <w:rFonts w:ascii="Arial" w:hAnsi="Arial" w:cs="Arial"/>
          <w:b/>
          <w:sz w:val="24"/>
          <w:szCs w:val="24"/>
        </w:rPr>
        <w:t>In the result</w:t>
      </w:r>
      <w:r w:rsidR="00080668" w:rsidRPr="00A51D02">
        <w:rPr>
          <w:rFonts w:ascii="Arial" w:hAnsi="Arial" w:cs="Arial"/>
          <w:b/>
          <w:sz w:val="24"/>
          <w:szCs w:val="24"/>
        </w:rPr>
        <w:t xml:space="preserve"> the following Order is made:</w:t>
      </w:r>
    </w:p>
    <w:p w14:paraId="646BA496" w14:textId="77777777" w:rsidR="00080668" w:rsidRPr="00A51D02" w:rsidRDefault="00080668" w:rsidP="00BC3235">
      <w:pPr>
        <w:pStyle w:val="ListParagraph"/>
        <w:numPr>
          <w:ilvl w:val="0"/>
          <w:numId w:val="5"/>
        </w:numPr>
        <w:spacing w:after="0" w:line="480" w:lineRule="auto"/>
        <w:jc w:val="both"/>
        <w:rPr>
          <w:rFonts w:ascii="Arial" w:hAnsi="Arial" w:cs="Arial"/>
          <w:b/>
          <w:sz w:val="24"/>
          <w:szCs w:val="24"/>
        </w:rPr>
      </w:pPr>
      <w:r w:rsidRPr="00A51D02">
        <w:rPr>
          <w:rFonts w:ascii="Arial" w:hAnsi="Arial" w:cs="Arial"/>
          <w:b/>
          <w:sz w:val="24"/>
          <w:szCs w:val="24"/>
        </w:rPr>
        <w:t>The first set of exceptions are dismissed with costs</w:t>
      </w:r>
      <w:r w:rsidR="003F24B9">
        <w:rPr>
          <w:rFonts w:ascii="Arial" w:hAnsi="Arial" w:cs="Arial"/>
          <w:b/>
          <w:sz w:val="24"/>
          <w:szCs w:val="24"/>
        </w:rPr>
        <w:t>, including the costs of three counsel</w:t>
      </w:r>
      <w:r w:rsidRPr="00A51D02">
        <w:rPr>
          <w:rFonts w:ascii="Arial" w:hAnsi="Arial" w:cs="Arial"/>
          <w:b/>
          <w:sz w:val="24"/>
          <w:szCs w:val="24"/>
        </w:rPr>
        <w:t>.</w:t>
      </w:r>
    </w:p>
    <w:p w14:paraId="1095EFC1" w14:textId="77777777" w:rsidR="00A51D02" w:rsidRPr="00A51D02" w:rsidRDefault="00080668" w:rsidP="00A51D02">
      <w:pPr>
        <w:pStyle w:val="ListParagraph"/>
        <w:numPr>
          <w:ilvl w:val="0"/>
          <w:numId w:val="5"/>
        </w:numPr>
        <w:spacing w:after="0" w:line="480" w:lineRule="auto"/>
        <w:jc w:val="both"/>
        <w:rPr>
          <w:rFonts w:ascii="Arial" w:hAnsi="Arial" w:cs="Arial"/>
          <w:b/>
          <w:sz w:val="24"/>
          <w:szCs w:val="24"/>
        </w:rPr>
      </w:pPr>
      <w:r w:rsidRPr="00A51D02">
        <w:rPr>
          <w:rFonts w:ascii="Arial" w:hAnsi="Arial" w:cs="Arial"/>
          <w:b/>
          <w:sz w:val="24"/>
          <w:szCs w:val="24"/>
        </w:rPr>
        <w:t xml:space="preserve">The second set of exceptions are upheld. </w:t>
      </w:r>
    </w:p>
    <w:p w14:paraId="631B69BF" w14:textId="77777777" w:rsidR="00080668" w:rsidRPr="00A51D02" w:rsidRDefault="00080668" w:rsidP="00A51D02">
      <w:pPr>
        <w:pStyle w:val="ListParagraph"/>
        <w:numPr>
          <w:ilvl w:val="0"/>
          <w:numId w:val="5"/>
        </w:numPr>
        <w:spacing w:after="0" w:line="480" w:lineRule="auto"/>
        <w:jc w:val="both"/>
        <w:rPr>
          <w:rFonts w:ascii="Arial" w:hAnsi="Arial" w:cs="Arial"/>
          <w:b/>
          <w:sz w:val="24"/>
          <w:szCs w:val="24"/>
        </w:rPr>
      </w:pPr>
      <w:r w:rsidRPr="00A51D02">
        <w:rPr>
          <w:rFonts w:ascii="Arial" w:hAnsi="Arial" w:cs="Arial"/>
          <w:b/>
          <w:sz w:val="24"/>
          <w:szCs w:val="24"/>
        </w:rPr>
        <w:t>There shall be no order as to costs in respect of the dismissal of the second set of exceptions.</w:t>
      </w:r>
    </w:p>
    <w:p w14:paraId="2DB4ABCA" w14:textId="77777777" w:rsidR="00BC3235" w:rsidRDefault="00BC3235" w:rsidP="00BC3235">
      <w:pPr>
        <w:spacing w:after="0" w:line="480" w:lineRule="auto"/>
        <w:jc w:val="both"/>
        <w:rPr>
          <w:rFonts w:ascii="Arial" w:hAnsi="Arial" w:cs="Arial"/>
          <w:sz w:val="24"/>
          <w:szCs w:val="24"/>
        </w:rPr>
      </w:pPr>
      <w:r>
        <w:rPr>
          <w:rFonts w:ascii="Arial" w:hAnsi="Arial" w:cs="Arial"/>
          <w:sz w:val="24"/>
          <w:szCs w:val="24"/>
        </w:rPr>
        <w:t xml:space="preserve"> </w:t>
      </w:r>
    </w:p>
    <w:p w14:paraId="072F3157" w14:textId="77777777" w:rsidR="00F21328" w:rsidRPr="00F21328" w:rsidRDefault="00244AD5" w:rsidP="00BC3235">
      <w:pPr>
        <w:spacing w:after="0" w:line="480" w:lineRule="auto"/>
        <w:jc w:val="both"/>
        <w:rPr>
          <w:rFonts w:ascii="Arial" w:hAnsi="Arial" w:cs="Arial"/>
          <w:b/>
          <w:sz w:val="24"/>
          <w:szCs w:val="24"/>
        </w:rPr>
      </w:pPr>
      <w:r>
        <w:rPr>
          <w:rFonts w:ascii="Arial" w:hAnsi="Arial" w:cs="Arial"/>
          <w:b/>
          <w:sz w:val="24"/>
          <w:szCs w:val="24"/>
        </w:rPr>
        <w:t>DEPUTY JUDGE PRESIDENT GOLIATH</w:t>
      </w:r>
    </w:p>
    <w:sectPr w:rsidR="00F21328" w:rsidRPr="00F21328" w:rsidSect="006120E6">
      <w:headerReference w:type="default" r:id="rId10"/>
      <w:pgSz w:w="11906" w:h="16838"/>
      <w:pgMar w:top="1440" w:right="1440" w:bottom="1440" w:left="1440" w:header="39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A513F" w14:textId="77777777" w:rsidR="00B65C76" w:rsidRDefault="00B65C76" w:rsidP="006120E6">
      <w:pPr>
        <w:spacing w:after="0" w:line="240" w:lineRule="auto"/>
      </w:pPr>
      <w:r>
        <w:separator/>
      </w:r>
    </w:p>
  </w:endnote>
  <w:endnote w:type="continuationSeparator" w:id="0">
    <w:p w14:paraId="79A7990B" w14:textId="77777777" w:rsidR="00B65C76" w:rsidRDefault="00B65C76" w:rsidP="0061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4576F" w14:textId="77777777" w:rsidR="00B65C76" w:rsidRDefault="00B65C76" w:rsidP="006120E6">
      <w:pPr>
        <w:spacing w:after="0" w:line="240" w:lineRule="auto"/>
      </w:pPr>
      <w:r>
        <w:separator/>
      </w:r>
    </w:p>
  </w:footnote>
  <w:footnote w:type="continuationSeparator" w:id="0">
    <w:p w14:paraId="477E56C4" w14:textId="77777777" w:rsidR="00B65C76" w:rsidRDefault="00B65C76" w:rsidP="006120E6">
      <w:pPr>
        <w:spacing w:after="0" w:line="240" w:lineRule="auto"/>
      </w:pPr>
      <w:r>
        <w:continuationSeparator/>
      </w:r>
    </w:p>
  </w:footnote>
  <w:footnote w:id="1">
    <w:p w14:paraId="1A33B134" w14:textId="77777777" w:rsidR="00362870" w:rsidRPr="005466A1" w:rsidRDefault="00362870" w:rsidP="000F5738">
      <w:pPr>
        <w:pStyle w:val="FootnoteText"/>
        <w:jc w:val="both"/>
        <w:rPr>
          <w:lang w:val="en-GB"/>
        </w:rPr>
      </w:pPr>
      <w:r>
        <w:rPr>
          <w:rStyle w:val="FootnoteReference"/>
        </w:rPr>
        <w:footnoteRef/>
      </w:r>
      <w:r>
        <w:t xml:space="preserve"> </w:t>
      </w:r>
      <w:r>
        <w:rPr>
          <w:lang w:val="en-GB"/>
        </w:rPr>
        <w:t>SLAPP is an acronym for “</w:t>
      </w:r>
      <w:r w:rsidRPr="00E71B5A">
        <w:rPr>
          <w:i/>
          <w:lang w:val="en-GB"/>
        </w:rPr>
        <w:t>Strategic Lawsuits Against Public Participation</w:t>
      </w:r>
      <w:r>
        <w:rPr>
          <w:lang w:val="en-GB"/>
        </w:rPr>
        <w:t xml:space="preserve">” and was created by Professors Penelope Canan and George W. Pring of the University of Denver, who have written widely on this topic. See, e.g., George W. Pring, SLAPPs: </w:t>
      </w:r>
      <w:r w:rsidRPr="00E71B5A">
        <w:rPr>
          <w:i/>
          <w:lang w:val="en-GB"/>
        </w:rPr>
        <w:t>Strategic Lawsuits Against Public Participation</w:t>
      </w:r>
      <w:r>
        <w:rPr>
          <w:lang w:val="en-GB"/>
        </w:rPr>
        <w:t xml:space="preserve">, 7 PACE ENVTL. L. REV. 3 (1989); Penelope Canan, </w:t>
      </w:r>
      <w:r w:rsidRPr="00E71B5A">
        <w:rPr>
          <w:i/>
          <w:lang w:val="en-GB"/>
        </w:rPr>
        <w:t>The SLAPP from a Sociological Perspective</w:t>
      </w:r>
      <w:r>
        <w:rPr>
          <w:lang w:val="en-GB"/>
        </w:rPr>
        <w:t>, 7 PACE ENVTL. L. REV. 23 (1989); Pene</w:t>
      </w:r>
      <w:r w:rsidR="00085700">
        <w:rPr>
          <w:lang w:val="en-GB"/>
        </w:rPr>
        <w:t xml:space="preserve">lope Canan and George W. Pring, </w:t>
      </w:r>
      <w:r w:rsidRPr="00E71B5A">
        <w:rPr>
          <w:i/>
          <w:lang w:val="en-GB"/>
        </w:rPr>
        <w:t>Studying Strategic Lawsuits Against Public Participation: Mixing Quantitative and Qualitative Approaches</w:t>
      </w:r>
      <w:r>
        <w:rPr>
          <w:lang w:val="en-GB"/>
        </w:rPr>
        <w:t xml:space="preserve">, 22 LAW &amp; SOC’Y REV. 385 (1988); Penelope Canan and George W. Pring , </w:t>
      </w:r>
      <w:r w:rsidRPr="00E71B5A">
        <w:rPr>
          <w:i/>
          <w:lang w:val="en-GB"/>
        </w:rPr>
        <w:t>Strategic Lawsuits Against Public Participation</w:t>
      </w:r>
      <w:r>
        <w:rPr>
          <w:lang w:val="en-GB"/>
        </w:rPr>
        <w:t>, 35 SOC. PROBS. 506 (1988)</w:t>
      </w:r>
      <w:r w:rsidR="00FA12D4">
        <w:rPr>
          <w:lang w:val="en-GB"/>
        </w:rPr>
        <w:t>.</w:t>
      </w:r>
    </w:p>
  </w:footnote>
  <w:footnote w:id="2">
    <w:p w14:paraId="4C21D675" w14:textId="77777777" w:rsidR="00362870" w:rsidRPr="00BD75C0" w:rsidRDefault="00362870" w:rsidP="0039130B">
      <w:pPr>
        <w:pStyle w:val="FootnoteText"/>
        <w:jc w:val="both"/>
        <w:rPr>
          <w:lang w:val="en-GB"/>
        </w:rPr>
      </w:pPr>
      <w:r w:rsidRPr="00BD75C0">
        <w:rPr>
          <w:rStyle w:val="FootnoteReference"/>
        </w:rPr>
        <w:footnoteRef/>
      </w:r>
      <w:r w:rsidRPr="00BD75C0">
        <w:t xml:space="preserve"> </w:t>
      </w:r>
      <w:r w:rsidR="00DE7581" w:rsidRPr="00BD75C0">
        <w:t xml:space="preserve">16. </w:t>
      </w:r>
      <w:r w:rsidRPr="00BD75C0">
        <w:rPr>
          <w:lang w:val="en-GB"/>
        </w:rPr>
        <w:t>Freedom of expression</w:t>
      </w:r>
    </w:p>
    <w:p w14:paraId="492D13AE" w14:textId="77777777" w:rsidR="00732AA1" w:rsidRDefault="00362870" w:rsidP="0039130B">
      <w:pPr>
        <w:pStyle w:val="FootnoteText"/>
        <w:numPr>
          <w:ilvl w:val="0"/>
          <w:numId w:val="10"/>
        </w:numPr>
        <w:jc w:val="both"/>
        <w:rPr>
          <w:lang w:val="en-GB"/>
        </w:rPr>
      </w:pPr>
      <w:r>
        <w:rPr>
          <w:lang w:val="en-GB"/>
        </w:rPr>
        <w:t xml:space="preserve">Everyone has the right to freedom </w:t>
      </w:r>
      <w:r w:rsidR="00732AA1">
        <w:rPr>
          <w:lang w:val="en-GB"/>
        </w:rPr>
        <w:t xml:space="preserve">of expression, which includes – </w:t>
      </w:r>
    </w:p>
    <w:p w14:paraId="6158D77F" w14:textId="77777777" w:rsidR="00732AA1" w:rsidRDefault="00362870" w:rsidP="0039130B">
      <w:pPr>
        <w:pStyle w:val="FootnoteText"/>
        <w:ind w:firstLine="495"/>
        <w:jc w:val="both"/>
        <w:rPr>
          <w:lang w:val="en-GB"/>
        </w:rPr>
      </w:pPr>
      <w:r>
        <w:rPr>
          <w:lang w:val="en-GB"/>
        </w:rPr>
        <w:t xml:space="preserve">(a) freedom of the press and other media; </w:t>
      </w:r>
    </w:p>
    <w:p w14:paraId="28500273" w14:textId="77777777" w:rsidR="00732AA1" w:rsidRDefault="00362870" w:rsidP="0039130B">
      <w:pPr>
        <w:pStyle w:val="FootnoteText"/>
        <w:ind w:firstLine="495"/>
        <w:jc w:val="both"/>
        <w:rPr>
          <w:lang w:val="en-GB"/>
        </w:rPr>
      </w:pPr>
      <w:r>
        <w:rPr>
          <w:lang w:val="en-GB"/>
        </w:rPr>
        <w:t xml:space="preserve">(b) freedom to receive or impart information or ideas; </w:t>
      </w:r>
    </w:p>
    <w:p w14:paraId="207AAB0E" w14:textId="77777777" w:rsidR="00732AA1" w:rsidRDefault="00362870" w:rsidP="0039130B">
      <w:pPr>
        <w:pStyle w:val="FootnoteText"/>
        <w:ind w:firstLine="495"/>
        <w:jc w:val="both"/>
        <w:rPr>
          <w:lang w:val="en-GB"/>
        </w:rPr>
      </w:pPr>
      <w:r>
        <w:rPr>
          <w:lang w:val="en-GB"/>
        </w:rPr>
        <w:t xml:space="preserve">(c) freedom of artistic creativity; and </w:t>
      </w:r>
    </w:p>
    <w:p w14:paraId="1D00F12F" w14:textId="77777777" w:rsidR="00362870" w:rsidRPr="00B5715E" w:rsidRDefault="00362870" w:rsidP="0039130B">
      <w:pPr>
        <w:pStyle w:val="FootnoteText"/>
        <w:ind w:firstLine="495"/>
        <w:jc w:val="both"/>
        <w:rPr>
          <w:lang w:val="en-GB"/>
        </w:rPr>
      </w:pPr>
      <w:r>
        <w:rPr>
          <w:lang w:val="en-GB"/>
        </w:rPr>
        <w:t>(d) academic freedom and freedom of scientific research</w:t>
      </w:r>
      <w:r w:rsidR="00FA12D4">
        <w:rPr>
          <w:lang w:val="en-GB"/>
        </w:rPr>
        <w:t>.</w:t>
      </w:r>
    </w:p>
  </w:footnote>
  <w:footnote w:id="3">
    <w:p w14:paraId="48315B49" w14:textId="77777777" w:rsidR="005E5806" w:rsidRPr="00C81AC6" w:rsidRDefault="005E5806" w:rsidP="005E5806">
      <w:pPr>
        <w:pStyle w:val="FootnoteText"/>
        <w:jc w:val="both"/>
        <w:rPr>
          <w:lang w:val="en-GB"/>
        </w:rPr>
      </w:pPr>
      <w:r>
        <w:rPr>
          <w:rStyle w:val="FootnoteReference"/>
        </w:rPr>
        <w:footnoteRef/>
      </w:r>
      <w:r>
        <w:t xml:space="preserve"> </w:t>
      </w:r>
      <w:r>
        <w:rPr>
          <w:lang w:val="en-GB"/>
        </w:rPr>
        <w:t>The Constitution of the Republic of South Africa, 1996.</w:t>
      </w:r>
    </w:p>
  </w:footnote>
  <w:footnote w:id="4">
    <w:p w14:paraId="2887D6BD" w14:textId="77777777" w:rsidR="00F759D7" w:rsidRPr="005466A1" w:rsidRDefault="00F759D7" w:rsidP="00DF42EF">
      <w:pPr>
        <w:pStyle w:val="FootnoteText"/>
        <w:jc w:val="both"/>
        <w:rPr>
          <w:lang w:val="en-GB"/>
        </w:rPr>
      </w:pPr>
      <w:r>
        <w:rPr>
          <w:rStyle w:val="FootnoteReference"/>
        </w:rPr>
        <w:footnoteRef/>
      </w:r>
      <w:r>
        <w:t xml:space="preserve"> </w:t>
      </w:r>
      <w:r>
        <w:rPr>
          <w:lang w:val="en-GB"/>
        </w:rPr>
        <w:t>2011(5) SA 329 (SCA)</w:t>
      </w:r>
      <w:r w:rsidR="00FA12D4">
        <w:rPr>
          <w:lang w:val="en-GB"/>
        </w:rPr>
        <w:t>.</w:t>
      </w:r>
    </w:p>
  </w:footnote>
  <w:footnote w:id="5">
    <w:p w14:paraId="7E45D49E" w14:textId="77777777" w:rsidR="00362870" w:rsidRDefault="00362870" w:rsidP="00DF42EF">
      <w:pPr>
        <w:pStyle w:val="FootnoteText"/>
        <w:jc w:val="both"/>
        <w:rPr>
          <w:lang w:val="en-GB"/>
        </w:rPr>
      </w:pPr>
      <w:r>
        <w:rPr>
          <w:rStyle w:val="FootnoteReference"/>
        </w:rPr>
        <w:footnoteRef/>
      </w:r>
      <w:r w:rsidRPr="00DE7581">
        <w:rPr>
          <w:b/>
        </w:rPr>
        <w:t xml:space="preserve"> </w:t>
      </w:r>
      <w:r w:rsidRPr="00BD75C0">
        <w:rPr>
          <w:lang w:val="en-GB"/>
        </w:rPr>
        <w:t>Access to courts</w:t>
      </w:r>
    </w:p>
    <w:p w14:paraId="57FAA7EF" w14:textId="77777777" w:rsidR="00362870" w:rsidRPr="005466A1" w:rsidRDefault="00DC3D9A" w:rsidP="00DF42EF">
      <w:pPr>
        <w:pStyle w:val="FootnoteText"/>
        <w:jc w:val="both"/>
        <w:rPr>
          <w:lang w:val="en-GB"/>
        </w:rPr>
      </w:pPr>
      <w:r>
        <w:rPr>
          <w:lang w:val="en-GB"/>
        </w:rPr>
        <w:t xml:space="preserve">34. </w:t>
      </w:r>
      <w:r w:rsidR="00362870">
        <w:rPr>
          <w:lang w:val="en-GB"/>
        </w:rPr>
        <w:t xml:space="preserve">Everyone has the right to have any dispute that can be resolved by the application of law decided in a </w:t>
      </w:r>
      <w:r w:rsidR="009140D3">
        <w:rPr>
          <w:lang w:val="en-GB"/>
        </w:rPr>
        <w:t xml:space="preserve">fair </w:t>
      </w:r>
      <w:r w:rsidR="00362870">
        <w:rPr>
          <w:lang w:val="en-GB"/>
        </w:rPr>
        <w:t xml:space="preserve">public hearing before a court or, where appropriate, another independent and impartial tribunal or forum. </w:t>
      </w:r>
    </w:p>
  </w:footnote>
  <w:footnote w:id="6">
    <w:p w14:paraId="46096373" w14:textId="77777777" w:rsidR="00362870" w:rsidRDefault="00362870" w:rsidP="00DF42EF">
      <w:pPr>
        <w:pStyle w:val="FootnoteText"/>
        <w:jc w:val="both"/>
        <w:rPr>
          <w:lang w:val="en-GB"/>
        </w:rPr>
      </w:pPr>
      <w:r>
        <w:rPr>
          <w:rStyle w:val="FootnoteReference"/>
        </w:rPr>
        <w:footnoteRef/>
      </w:r>
      <w:r>
        <w:t xml:space="preserve"> </w:t>
      </w:r>
      <w:r>
        <w:rPr>
          <w:lang w:val="en-GB"/>
        </w:rPr>
        <w:t>Section 2(1)</w:t>
      </w:r>
      <w:r w:rsidR="00F759D7">
        <w:rPr>
          <w:lang w:val="en-GB"/>
        </w:rPr>
        <w:t xml:space="preserve"> </w:t>
      </w:r>
      <w:r>
        <w:rPr>
          <w:lang w:val="en-GB"/>
        </w:rPr>
        <w:t>b of the Vexatious Proceedings Act 3 of 1956 as amended by Act 3 of 1995 provides as follows:</w:t>
      </w:r>
    </w:p>
    <w:p w14:paraId="713914A2" w14:textId="77777777" w:rsidR="00362870" w:rsidRPr="00F364ED" w:rsidRDefault="00362870" w:rsidP="00DF42EF">
      <w:pPr>
        <w:pStyle w:val="FootnoteText"/>
        <w:jc w:val="both"/>
        <w:rPr>
          <w:lang w:val="en-GB"/>
        </w:rPr>
      </w:pPr>
      <w:r>
        <w:rPr>
          <w:lang w:val="en-GB"/>
        </w:rPr>
        <w:t>“If, on application made by any person against who</w:t>
      </w:r>
      <w:r w:rsidR="00F759D7">
        <w:rPr>
          <w:lang w:val="en-GB"/>
        </w:rPr>
        <w:t xml:space="preserve">m legal proceedings have been instituted by any other person or who has reason to believe that the institution of legal proceedings against him is contemplated by any other person, the court is satisfied that the said person has persistently </w:t>
      </w:r>
      <w:r w:rsidR="00957120">
        <w:rPr>
          <w:lang w:val="en-GB"/>
        </w:rPr>
        <w:t xml:space="preserve">and without </w:t>
      </w:r>
      <w:r w:rsidR="00F759D7">
        <w:rPr>
          <w:lang w:val="en-GB"/>
        </w:rPr>
        <w:t xml:space="preserve">any reasonable ground instituted legal proceedings </w:t>
      </w:r>
      <w:r w:rsidR="00957120">
        <w:rPr>
          <w:lang w:val="en-GB"/>
        </w:rPr>
        <w:t>in any court or in any inferior court, whether against the same person or against different persons, the court may, after hearing that other person or giving him an opportunity of being heard, order that no legal proceedings shall be instituted by him against any person in any court or any inferior court without the leave of that court, or any judge thereof, or that inferior court, as the case may be, and such leave shall not be granted unless the court or judge or the inferior court , as the case may be, is satisfied that the proceedings are not an abuse of the process of the court</w:t>
      </w:r>
      <w:r>
        <w:rPr>
          <w:lang w:val="en-GB"/>
        </w:rPr>
        <w:t xml:space="preserve"> and that there is prima facie ground for the proceedings”</w:t>
      </w:r>
      <w:r w:rsidR="00BD75C0">
        <w:rPr>
          <w:lang w:val="en-GB"/>
        </w:rPr>
        <w:t>.</w:t>
      </w:r>
    </w:p>
  </w:footnote>
  <w:footnote w:id="7">
    <w:p w14:paraId="35D96D3C" w14:textId="77777777" w:rsidR="00362870" w:rsidRPr="003E709F" w:rsidRDefault="00362870" w:rsidP="0039130B">
      <w:pPr>
        <w:pStyle w:val="FootnoteText"/>
        <w:jc w:val="both"/>
        <w:rPr>
          <w:lang w:val="en-GB"/>
        </w:rPr>
      </w:pPr>
      <w:r>
        <w:rPr>
          <w:rStyle w:val="FootnoteReference"/>
        </w:rPr>
        <w:footnoteRef/>
      </w:r>
      <w:r>
        <w:t xml:space="preserve"> </w:t>
      </w:r>
      <w:r>
        <w:rPr>
          <w:lang w:val="en-GB"/>
        </w:rPr>
        <w:t>1991 (4) SA 603</w:t>
      </w:r>
      <w:r w:rsidR="00DC3D9A">
        <w:rPr>
          <w:lang w:val="en-GB"/>
        </w:rPr>
        <w:t xml:space="preserve"> (</w:t>
      </w:r>
      <w:r>
        <w:rPr>
          <w:lang w:val="en-GB"/>
        </w:rPr>
        <w:t>D</w:t>
      </w:r>
      <w:r w:rsidR="00DC3D9A">
        <w:rPr>
          <w:lang w:val="en-GB"/>
        </w:rPr>
        <w:t>)</w:t>
      </w:r>
      <w:r>
        <w:rPr>
          <w:lang w:val="en-GB"/>
        </w:rPr>
        <w:t xml:space="preserve"> at 608 E-H</w:t>
      </w:r>
      <w:r w:rsidR="00BD75C0">
        <w:rPr>
          <w:lang w:val="en-GB"/>
        </w:rPr>
        <w:t>.</w:t>
      </w:r>
    </w:p>
  </w:footnote>
  <w:footnote w:id="8">
    <w:p w14:paraId="71405D4D" w14:textId="77777777" w:rsidR="00362870" w:rsidRPr="0066464B" w:rsidRDefault="00362870" w:rsidP="0039130B">
      <w:pPr>
        <w:pStyle w:val="FootnoteText"/>
        <w:jc w:val="both"/>
        <w:rPr>
          <w:lang w:val="en-GB"/>
        </w:rPr>
      </w:pPr>
      <w:r>
        <w:rPr>
          <w:rStyle w:val="FootnoteReference"/>
        </w:rPr>
        <w:footnoteRef/>
      </w:r>
      <w:r>
        <w:t xml:space="preserve"> </w:t>
      </w:r>
      <w:r>
        <w:rPr>
          <w:lang w:val="en-GB"/>
        </w:rPr>
        <w:t xml:space="preserve">[2020]1 All SA 52 </w:t>
      </w:r>
      <w:r w:rsidR="00DC3D9A">
        <w:rPr>
          <w:lang w:val="en-GB"/>
        </w:rPr>
        <w:t>(</w:t>
      </w:r>
      <w:r>
        <w:rPr>
          <w:lang w:val="en-GB"/>
        </w:rPr>
        <w:t>SCA</w:t>
      </w:r>
      <w:r w:rsidR="00DC3D9A">
        <w:rPr>
          <w:lang w:val="en-GB"/>
        </w:rPr>
        <w:t>)</w:t>
      </w:r>
      <w:r>
        <w:rPr>
          <w:lang w:val="en-GB"/>
        </w:rPr>
        <w:t xml:space="preserve"> at para 25</w:t>
      </w:r>
      <w:r w:rsidR="00BD75C0">
        <w:rPr>
          <w:lang w:val="en-GB"/>
        </w:rPr>
        <w:t>.</w:t>
      </w:r>
    </w:p>
  </w:footnote>
  <w:footnote w:id="9">
    <w:p w14:paraId="4D485041" w14:textId="77777777" w:rsidR="00362870" w:rsidRPr="0066464B" w:rsidRDefault="00362870" w:rsidP="0039130B">
      <w:pPr>
        <w:pStyle w:val="FootnoteText"/>
        <w:jc w:val="both"/>
        <w:rPr>
          <w:lang w:val="en-GB"/>
        </w:rPr>
      </w:pPr>
      <w:r>
        <w:rPr>
          <w:rStyle w:val="FootnoteReference"/>
        </w:rPr>
        <w:footnoteRef/>
      </w:r>
      <w:r>
        <w:t xml:space="preserve"> </w:t>
      </w:r>
      <w:r>
        <w:rPr>
          <w:lang w:val="en-GB"/>
        </w:rPr>
        <w:t>2009 (2) SA 277 (SCA) at para 37</w:t>
      </w:r>
      <w:r w:rsidR="00BD75C0">
        <w:rPr>
          <w:lang w:val="en-GB"/>
        </w:rPr>
        <w:t>.</w:t>
      </w:r>
    </w:p>
  </w:footnote>
  <w:footnote w:id="10">
    <w:p w14:paraId="6A3B9C10" w14:textId="77777777" w:rsidR="00362870" w:rsidRPr="0066464B" w:rsidRDefault="00362870" w:rsidP="0039130B">
      <w:pPr>
        <w:pStyle w:val="FootnoteText"/>
        <w:jc w:val="both"/>
        <w:rPr>
          <w:lang w:val="en-GB"/>
        </w:rPr>
      </w:pPr>
      <w:r>
        <w:rPr>
          <w:rStyle w:val="FootnoteReference"/>
        </w:rPr>
        <w:footnoteRef/>
      </w:r>
      <w:r>
        <w:t xml:space="preserve"> </w:t>
      </w:r>
      <w:r>
        <w:rPr>
          <w:lang w:val="en-GB"/>
        </w:rPr>
        <w:t>2018 (1) SA 200 (SCA) at para 88</w:t>
      </w:r>
      <w:r w:rsidR="00BD75C0">
        <w:rPr>
          <w:lang w:val="en-GB"/>
        </w:rPr>
        <w:t>.</w:t>
      </w:r>
    </w:p>
  </w:footnote>
  <w:footnote w:id="11">
    <w:p w14:paraId="0BDEF279" w14:textId="77777777" w:rsidR="00362870" w:rsidRPr="00C056D8" w:rsidRDefault="00362870" w:rsidP="0039130B">
      <w:pPr>
        <w:pStyle w:val="FootnoteText"/>
        <w:jc w:val="both"/>
        <w:rPr>
          <w:lang w:val="en-GB"/>
        </w:rPr>
      </w:pPr>
      <w:r>
        <w:rPr>
          <w:rStyle w:val="FootnoteReference"/>
        </w:rPr>
        <w:footnoteRef/>
      </w:r>
      <w:r>
        <w:t xml:space="preserve"> </w:t>
      </w:r>
      <w:r>
        <w:rPr>
          <w:lang w:val="en-GB"/>
        </w:rPr>
        <w:t>Stewart and Another v Botha and Another 2008 (6) SA 310 (SCA) at para 4</w:t>
      </w:r>
      <w:r w:rsidR="00BD75C0">
        <w:rPr>
          <w:lang w:val="en-GB"/>
        </w:rPr>
        <w:t>.</w:t>
      </w:r>
    </w:p>
  </w:footnote>
  <w:footnote w:id="12">
    <w:p w14:paraId="0308CB93" w14:textId="77777777" w:rsidR="00362870" w:rsidRPr="0066464B" w:rsidRDefault="00362870" w:rsidP="00DF42EF">
      <w:pPr>
        <w:pStyle w:val="FootnoteText"/>
        <w:jc w:val="both"/>
        <w:rPr>
          <w:lang w:val="en-GB"/>
        </w:rPr>
      </w:pPr>
      <w:r>
        <w:rPr>
          <w:rStyle w:val="FootnoteReference"/>
        </w:rPr>
        <w:footnoteRef/>
      </w:r>
      <w:r>
        <w:t xml:space="preserve"> </w:t>
      </w:r>
      <w:r>
        <w:rPr>
          <w:lang w:val="en-GB"/>
        </w:rPr>
        <w:t>Beinash v Wigley &amp; Others 1997 (3) SA 721 (SCA); Phillips v Botha 1999 (2) SA 555 (SCA); Roering NO and Another v Mahlangu and Others 2016 (5) SA 455 (SCA); Lawyers for Human Rights v Minister in the Presidency 2017 (1) SA 645 (CC); Ascendis Animal Health (Pty) Limited v Merck Sharpe Dohme Corporation and Others 2020 (1) SA 327 (CC)</w:t>
      </w:r>
      <w:r w:rsidR="00BD75C0">
        <w:rPr>
          <w:lang w:val="en-GB"/>
        </w:rPr>
        <w:t>.</w:t>
      </w:r>
    </w:p>
  </w:footnote>
  <w:footnote w:id="13">
    <w:p w14:paraId="0376820D" w14:textId="77777777" w:rsidR="00362870" w:rsidRPr="0066464B" w:rsidRDefault="00362870" w:rsidP="0039130B">
      <w:pPr>
        <w:pStyle w:val="FootnoteText"/>
        <w:jc w:val="both"/>
        <w:rPr>
          <w:lang w:val="en-GB"/>
        </w:rPr>
      </w:pPr>
      <w:r>
        <w:rPr>
          <w:rStyle w:val="FootnoteReference"/>
        </w:rPr>
        <w:footnoteRef/>
      </w:r>
      <w:r>
        <w:t xml:space="preserve"> </w:t>
      </w:r>
      <w:r>
        <w:rPr>
          <w:lang w:val="en-GB"/>
        </w:rPr>
        <w:t>2015 (1) SA 515 (SCA) at paragraph 1</w:t>
      </w:r>
      <w:r w:rsidR="00BD75C0">
        <w:rPr>
          <w:lang w:val="en-GB"/>
        </w:rPr>
        <w:t>.</w:t>
      </w:r>
    </w:p>
  </w:footnote>
  <w:footnote w:id="14">
    <w:p w14:paraId="7467D050" w14:textId="77777777" w:rsidR="00362870" w:rsidRPr="0066464B" w:rsidRDefault="00362870" w:rsidP="0039130B">
      <w:pPr>
        <w:pStyle w:val="FootnoteText"/>
        <w:jc w:val="both"/>
        <w:rPr>
          <w:lang w:val="en-GB"/>
        </w:rPr>
      </w:pPr>
      <w:r>
        <w:rPr>
          <w:rStyle w:val="FootnoteReference"/>
        </w:rPr>
        <w:footnoteRef/>
      </w:r>
      <w:r>
        <w:t xml:space="preserve"> </w:t>
      </w:r>
      <w:r>
        <w:rPr>
          <w:lang w:val="en-GB"/>
        </w:rPr>
        <w:t>Id</w:t>
      </w:r>
      <w:r w:rsidR="00F759D7">
        <w:rPr>
          <w:lang w:val="en-GB"/>
        </w:rPr>
        <w:t xml:space="preserve"> at</w:t>
      </w:r>
      <w:r>
        <w:rPr>
          <w:lang w:val="en-GB"/>
        </w:rPr>
        <w:t xml:space="preserve"> para 71</w:t>
      </w:r>
      <w:r w:rsidR="00BD75C0">
        <w:rPr>
          <w:lang w:val="en-GB"/>
        </w:rPr>
        <w:t>.</w:t>
      </w:r>
    </w:p>
  </w:footnote>
  <w:footnote w:id="15">
    <w:p w14:paraId="4DAF889C" w14:textId="77777777" w:rsidR="00362870" w:rsidRPr="0066464B" w:rsidRDefault="00362870" w:rsidP="00DF42EF">
      <w:pPr>
        <w:pStyle w:val="FootnoteText"/>
        <w:jc w:val="both"/>
        <w:rPr>
          <w:lang w:val="en-GB"/>
        </w:rPr>
      </w:pPr>
      <w:r>
        <w:rPr>
          <w:rStyle w:val="FootnoteReference"/>
        </w:rPr>
        <w:footnoteRef/>
      </w:r>
      <w:r>
        <w:t xml:space="preserve"> </w:t>
      </w:r>
      <w:r>
        <w:rPr>
          <w:lang w:val="en-GB"/>
        </w:rPr>
        <w:t xml:space="preserve">Id </w:t>
      </w:r>
      <w:r w:rsidR="0013641B">
        <w:rPr>
          <w:lang w:val="en-GB"/>
        </w:rPr>
        <w:t xml:space="preserve">at </w:t>
      </w:r>
      <w:r>
        <w:rPr>
          <w:lang w:val="en-GB"/>
        </w:rPr>
        <w:t>para 82</w:t>
      </w:r>
      <w:r w:rsidR="00BD75C0">
        <w:rPr>
          <w:lang w:val="en-GB"/>
        </w:rPr>
        <w:t>.</w:t>
      </w:r>
    </w:p>
  </w:footnote>
  <w:footnote w:id="16">
    <w:p w14:paraId="6218A774" w14:textId="77777777" w:rsidR="005E5806" w:rsidRPr="005E5806" w:rsidRDefault="005E5806" w:rsidP="00DF42EF">
      <w:pPr>
        <w:pStyle w:val="FootnoteText"/>
        <w:jc w:val="both"/>
        <w:rPr>
          <w:lang w:val="en-GB"/>
        </w:rPr>
      </w:pPr>
      <w:r>
        <w:rPr>
          <w:rStyle w:val="FootnoteReference"/>
        </w:rPr>
        <w:footnoteRef/>
      </w:r>
      <w:r>
        <w:t xml:space="preserve"> </w:t>
      </w:r>
      <w:r>
        <w:rPr>
          <w:lang w:val="en-GB"/>
        </w:rPr>
        <w:t xml:space="preserve">Children’s Resource Centre Trust and Others v Pioneer Food (Pty) Ltd and Others 2013 (2) SA 213 (SCA); </w:t>
      </w:r>
      <w:r>
        <w:rPr>
          <w:lang w:val="en-GB"/>
        </w:rPr>
        <w:t>Mukaddam v Pioneer Foods (Pty) Ltd and Others 2013 (5) SA 89 (CC).</w:t>
      </w:r>
    </w:p>
  </w:footnote>
  <w:footnote w:id="17">
    <w:p w14:paraId="66DD04B9" w14:textId="77777777" w:rsidR="001365AA" w:rsidRDefault="001365AA" w:rsidP="00DF42EF">
      <w:pPr>
        <w:pStyle w:val="FootnoteText"/>
        <w:jc w:val="both"/>
      </w:pPr>
    </w:p>
    <w:p w14:paraId="480B2983" w14:textId="77777777" w:rsidR="00362870" w:rsidRPr="00BD75C0" w:rsidRDefault="00362870" w:rsidP="00DF42EF">
      <w:pPr>
        <w:pStyle w:val="FootnoteText"/>
        <w:jc w:val="both"/>
        <w:rPr>
          <w:lang w:val="en-GB"/>
        </w:rPr>
      </w:pPr>
      <w:r w:rsidRPr="00BD75C0">
        <w:rPr>
          <w:rStyle w:val="FootnoteReference"/>
        </w:rPr>
        <w:footnoteRef/>
      </w:r>
      <w:r w:rsidRPr="00BD75C0">
        <w:t xml:space="preserve"> </w:t>
      </w:r>
      <w:r w:rsidRPr="00BD75C0">
        <w:rPr>
          <w:lang w:val="en-GB"/>
        </w:rPr>
        <w:t>Interpretation of Bill of Rights</w:t>
      </w:r>
    </w:p>
    <w:p w14:paraId="6F446D8A" w14:textId="77777777" w:rsidR="00362870" w:rsidRPr="00BD75C0" w:rsidRDefault="00362870" w:rsidP="00DF42EF">
      <w:pPr>
        <w:pStyle w:val="FootnoteText"/>
        <w:jc w:val="both"/>
        <w:rPr>
          <w:lang w:val="en-GB"/>
        </w:rPr>
      </w:pPr>
      <w:r w:rsidRPr="00BD75C0">
        <w:rPr>
          <w:lang w:val="en-GB"/>
        </w:rPr>
        <w:t>…</w:t>
      </w:r>
    </w:p>
    <w:p w14:paraId="2F2B3701" w14:textId="77777777" w:rsidR="00362870" w:rsidRPr="006B68A1" w:rsidRDefault="001365AA" w:rsidP="00DF42EF">
      <w:pPr>
        <w:pStyle w:val="FootnoteText"/>
        <w:jc w:val="both"/>
        <w:rPr>
          <w:lang w:val="en-GB"/>
        </w:rPr>
      </w:pPr>
      <w:r>
        <w:rPr>
          <w:lang w:val="en-GB"/>
        </w:rPr>
        <w:t>39(2</w:t>
      </w:r>
      <w:r>
        <w:rPr>
          <w:lang w:val="en-GB"/>
        </w:rPr>
        <w:t xml:space="preserve">)  </w:t>
      </w:r>
      <w:r w:rsidR="00362870">
        <w:rPr>
          <w:lang w:val="en-GB"/>
        </w:rPr>
        <w:t>When interpreting any legislation, and when developing the common law or customary law, every court, tribunal or forum must promote the spirit, purport and objects of the Bill of Rights.</w:t>
      </w:r>
    </w:p>
  </w:footnote>
  <w:footnote w:id="18">
    <w:p w14:paraId="27E9DC2F" w14:textId="77777777" w:rsidR="001365AA" w:rsidRDefault="001365AA" w:rsidP="00DF42EF">
      <w:pPr>
        <w:pStyle w:val="FootnoteText"/>
        <w:jc w:val="both"/>
      </w:pPr>
    </w:p>
    <w:p w14:paraId="51B0C11A" w14:textId="77777777" w:rsidR="00362870" w:rsidRPr="00BD75C0" w:rsidRDefault="00362870" w:rsidP="00DF42EF">
      <w:pPr>
        <w:pStyle w:val="FootnoteText"/>
        <w:jc w:val="both"/>
        <w:rPr>
          <w:lang w:val="en-GB"/>
        </w:rPr>
      </w:pPr>
      <w:r w:rsidRPr="00BD75C0">
        <w:rPr>
          <w:rStyle w:val="FootnoteReference"/>
        </w:rPr>
        <w:footnoteRef/>
      </w:r>
      <w:r w:rsidRPr="00BD75C0">
        <w:t xml:space="preserve"> </w:t>
      </w:r>
      <w:r w:rsidR="001365AA">
        <w:rPr>
          <w:lang w:val="en-GB"/>
        </w:rPr>
        <w:t>Inherent p</w:t>
      </w:r>
      <w:r w:rsidRPr="00BD75C0">
        <w:rPr>
          <w:lang w:val="en-GB"/>
        </w:rPr>
        <w:t>ower</w:t>
      </w:r>
    </w:p>
    <w:p w14:paraId="04ECEDF9" w14:textId="77777777" w:rsidR="00362870" w:rsidRPr="000631FF" w:rsidRDefault="00362870" w:rsidP="001365AA">
      <w:pPr>
        <w:pStyle w:val="FootnoteText"/>
        <w:jc w:val="both"/>
        <w:rPr>
          <w:lang w:val="en-GB"/>
        </w:rPr>
      </w:pPr>
      <w:r w:rsidRPr="000631FF">
        <w:rPr>
          <w:lang w:val="en-GB"/>
        </w:rPr>
        <w:t>173</w:t>
      </w:r>
      <w:r w:rsidR="001365AA">
        <w:rPr>
          <w:lang w:val="en-GB"/>
        </w:rPr>
        <w:t xml:space="preserve">  </w:t>
      </w:r>
      <w:r>
        <w:rPr>
          <w:lang w:val="en-GB"/>
        </w:rPr>
        <w:t>The Constitutional Court, Supreme Court of Appeal and High Courts have the inherent power to protect and regulate their own process, and to develop the common law, taking into account the interests of justice.</w:t>
      </w:r>
    </w:p>
  </w:footnote>
  <w:footnote w:id="19">
    <w:p w14:paraId="10720FAC" w14:textId="77777777" w:rsidR="0046681C" w:rsidRDefault="00362870" w:rsidP="00DF42EF">
      <w:pPr>
        <w:pStyle w:val="FootnoteText"/>
        <w:jc w:val="both"/>
        <w:rPr>
          <w:b/>
        </w:rPr>
      </w:pPr>
      <w:r>
        <w:rPr>
          <w:rStyle w:val="FootnoteReference"/>
        </w:rPr>
        <w:footnoteRef/>
      </w:r>
      <w:r>
        <w:t xml:space="preserve"> </w:t>
      </w:r>
      <w:r w:rsidR="00DE7581" w:rsidRPr="00BD75C0">
        <w:t>I</w:t>
      </w:r>
      <w:r w:rsidR="0046681C" w:rsidRPr="00BD75C0">
        <w:t>nterpretation of</w:t>
      </w:r>
      <w:r w:rsidR="00DE7581" w:rsidRPr="00BD75C0">
        <w:t xml:space="preserve"> Bill of Rights</w:t>
      </w:r>
    </w:p>
    <w:p w14:paraId="02D00564" w14:textId="77777777" w:rsidR="00362870" w:rsidRDefault="00DF42EF" w:rsidP="00DF42EF">
      <w:pPr>
        <w:pStyle w:val="FootnoteText"/>
        <w:jc w:val="both"/>
        <w:rPr>
          <w:lang w:val="en-GB"/>
        </w:rPr>
      </w:pPr>
      <w:r>
        <w:t xml:space="preserve"> </w:t>
      </w:r>
      <w:r w:rsidR="001365AA">
        <w:t xml:space="preserve">   39</w:t>
      </w:r>
      <w:r w:rsidR="0046681C">
        <w:t xml:space="preserve">(1) When </w:t>
      </w:r>
      <w:r w:rsidR="0046681C">
        <w:rPr>
          <w:lang w:val="en-GB"/>
        </w:rPr>
        <w:t xml:space="preserve">interpreting the Bill of Rights, a court, tribunal or forum – </w:t>
      </w:r>
    </w:p>
    <w:p w14:paraId="016B80E2" w14:textId="77777777" w:rsidR="001365AA" w:rsidRPr="001365AA" w:rsidRDefault="0046681C" w:rsidP="001365AA">
      <w:pPr>
        <w:pStyle w:val="FootnoteText"/>
        <w:numPr>
          <w:ilvl w:val="0"/>
          <w:numId w:val="12"/>
        </w:numPr>
        <w:jc w:val="both"/>
        <w:rPr>
          <w:lang w:val="en-GB"/>
        </w:rPr>
      </w:pPr>
      <w:r>
        <w:rPr>
          <w:lang w:val="en-GB"/>
        </w:rPr>
        <w:t>must promote the values that underlie an open and democratic society b</w:t>
      </w:r>
      <w:r w:rsidR="001365AA">
        <w:rPr>
          <w:lang w:val="en-GB"/>
        </w:rPr>
        <w:t>ased on human dignity, equality and freedom;</w:t>
      </w:r>
    </w:p>
    <w:p w14:paraId="143C1062" w14:textId="77777777" w:rsidR="0046681C" w:rsidRDefault="001365AA" w:rsidP="00DF42EF">
      <w:pPr>
        <w:pStyle w:val="FootnoteText"/>
        <w:ind w:left="45"/>
        <w:jc w:val="both"/>
        <w:rPr>
          <w:lang w:val="en-GB"/>
        </w:rPr>
      </w:pPr>
      <w:r>
        <w:rPr>
          <w:lang w:val="en-GB"/>
        </w:rPr>
        <w:t xml:space="preserve">       </w:t>
      </w:r>
      <w:r w:rsidR="0046681C">
        <w:rPr>
          <w:lang w:val="en-GB"/>
        </w:rPr>
        <w:t>(b) must consider international law; and</w:t>
      </w:r>
    </w:p>
    <w:p w14:paraId="5F4D4581" w14:textId="77777777" w:rsidR="0046681C" w:rsidRPr="006B68A1" w:rsidRDefault="00DF42EF" w:rsidP="00DF42EF">
      <w:pPr>
        <w:pStyle w:val="FootnoteText"/>
        <w:jc w:val="both"/>
        <w:rPr>
          <w:lang w:val="en-GB"/>
        </w:rPr>
      </w:pPr>
      <w:r>
        <w:rPr>
          <w:lang w:val="en-GB"/>
        </w:rPr>
        <w:t xml:space="preserve"> </w:t>
      </w:r>
      <w:r w:rsidR="001365AA">
        <w:rPr>
          <w:lang w:val="en-GB"/>
        </w:rPr>
        <w:t xml:space="preserve">       </w:t>
      </w:r>
      <w:r w:rsidR="0046681C">
        <w:rPr>
          <w:lang w:val="en-GB"/>
        </w:rPr>
        <w:t>(c) may consider foreign law</w:t>
      </w:r>
      <w:r w:rsidR="00BD75C0">
        <w:rPr>
          <w:lang w:val="en-GB"/>
        </w:rPr>
        <w:t>.</w:t>
      </w:r>
    </w:p>
  </w:footnote>
  <w:footnote w:id="20">
    <w:p w14:paraId="32703EA3" w14:textId="77777777" w:rsidR="001365AA" w:rsidRDefault="001365AA" w:rsidP="00DF42EF">
      <w:pPr>
        <w:pStyle w:val="FootnoteText"/>
        <w:jc w:val="both"/>
      </w:pPr>
      <w:r>
        <w:t xml:space="preserve"> </w:t>
      </w:r>
    </w:p>
    <w:p w14:paraId="171FB7ED" w14:textId="77777777" w:rsidR="00362870" w:rsidRPr="00BD75C0" w:rsidRDefault="00362870" w:rsidP="00DF42EF">
      <w:pPr>
        <w:pStyle w:val="FootnoteText"/>
        <w:jc w:val="both"/>
        <w:rPr>
          <w:lang w:val="en-GB"/>
        </w:rPr>
      </w:pPr>
      <w:r w:rsidRPr="00BD75C0">
        <w:rPr>
          <w:rStyle w:val="FootnoteReference"/>
        </w:rPr>
        <w:footnoteRef/>
      </w:r>
      <w:r w:rsidR="00DE7581" w:rsidRPr="00BD75C0">
        <w:t>8.</w:t>
      </w:r>
      <w:r w:rsidRPr="00BD75C0">
        <w:t xml:space="preserve"> </w:t>
      </w:r>
      <w:r w:rsidRPr="00BD75C0">
        <w:rPr>
          <w:lang w:val="en-GB"/>
        </w:rPr>
        <w:t>Application</w:t>
      </w:r>
    </w:p>
    <w:p w14:paraId="36DFC83B" w14:textId="77777777" w:rsidR="00362870" w:rsidRDefault="0039130B" w:rsidP="00DF42EF">
      <w:pPr>
        <w:pStyle w:val="FootnoteText"/>
        <w:jc w:val="both"/>
        <w:rPr>
          <w:lang w:val="en-GB"/>
        </w:rPr>
      </w:pPr>
      <w:r>
        <w:rPr>
          <w:lang w:val="en-GB"/>
        </w:rPr>
        <w:t xml:space="preserve">   </w:t>
      </w:r>
      <w:r w:rsidR="00362870">
        <w:rPr>
          <w:lang w:val="en-GB"/>
        </w:rPr>
        <w:t>…</w:t>
      </w:r>
    </w:p>
    <w:p w14:paraId="42113DB3" w14:textId="77777777" w:rsidR="00362870" w:rsidRPr="00B94EB2" w:rsidRDefault="00362870" w:rsidP="001365AA">
      <w:pPr>
        <w:pStyle w:val="FootnoteText"/>
        <w:numPr>
          <w:ilvl w:val="0"/>
          <w:numId w:val="13"/>
        </w:numPr>
        <w:jc w:val="both"/>
        <w:rPr>
          <w:lang w:val="en-GB"/>
        </w:rPr>
      </w:pPr>
      <w:r>
        <w:rPr>
          <w:lang w:val="en-GB"/>
        </w:rPr>
        <w:t>When applying a provision of the Bill of Rights to a natural juristic person in terms of subsection (2), a court – (a) in order to give effect to a right in the Bill, must apply, or if necessary develop, the common law to the extent that legislation does not give effect to that right; and (b) may develop rules of the common law to limit the right, provided that the limitation is in accordance with section 36(1)</w:t>
      </w:r>
      <w:r w:rsidR="00DC3D9A">
        <w:rPr>
          <w:lang w:val="en-GB"/>
        </w:rPr>
        <w:t>.</w:t>
      </w:r>
    </w:p>
  </w:footnote>
  <w:footnote w:id="21">
    <w:p w14:paraId="2A78D3B2" w14:textId="77777777" w:rsidR="00362870" w:rsidRPr="00B94EB2" w:rsidRDefault="00362870" w:rsidP="00DF42EF">
      <w:pPr>
        <w:pStyle w:val="FootnoteText"/>
        <w:jc w:val="both"/>
        <w:rPr>
          <w:lang w:val="en-GB"/>
        </w:rPr>
      </w:pPr>
      <w:r>
        <w:rPr>
          <w:rStyle w:val="FootnoteReference"/>
        </w:rPr>
        <w:footnoteRef/>
      </w:r>
      <w:r>
        <w:t xml:space="preserve"> </w:t>
      </w:r>
      <w:r w:rsidR="00732AA1">
        <w:rPr>
          <w:lang w:val="en-GB"/>
        </w:rPr>
        <w:t>Id at para</w:t>
      </w:r>
      <w:r w:rsidR="0013641B">
        <w:rPr>
          <w:lang w:val="en-GB"/>
        </w:rPr>
        <w:t xml:space="preserve"> 6</w:t>
      </w:r>
      <w:r w:rsidR="00BD75C0">
        <w:rPr>
          <w:lang w:val="en-GB"/>
        </w:rPr>
        <w:t>.</w:t>
      </w:r>
    </w:p>
  </w:footnote>
  <w:footnote w:id="22">
    <w:p w14:paraId="785E1B11" w14:textId="77777777" w:rsidR="00362870" w:rsidRPr="00B94EB2" w:rsidRDefault="00362870" w:rsidP="00DF42EF">
      <w:pPr>
        <w:pStyle w:val="FootnoteText"/>
        <w:jc w:val="both"/>
        <w:rPr>
          <w:lang w:val="en-GB"/>
        </w:rPr>
      </w:pPr>
      <w:r>
        <w:rPr>
          <w:rStyle w:val="FootnoteReference"/>
        </w:rPr>
        <w:footnoteRef/>
      </w:r>
      <w:r>
        <w:t xml:space="preserve"> </w:t>
      </w:r>
      <w:r>
        <w:rPr>
          <w:lang w:val="en-GB"/>
        </w:rPr>
        <w:t>African Farms and Townships Ltd v Cape Town Municipa</w:t>
      </w:r>
      <w:r w:rsidR="00EF4B13">
        <w:rPr>
          <w:lang w:val="en-GB"/>
        </w:rPr>
        <w:t>lity 1963 (2) SA 555 (A) at 565 D-E</w:t>
      </w:r>
      <w:r w:rsidR="00852CEF">
        <w:rPr>
          <w:lang w:val="en-GB"/>
        </w:rPr>
        <w:t xml:space="preserve">; </w:t>
      </w:r>
      <w:r>
        <w:rPr>
          <w:lang w:val="en-GB"/>
        </w:rPr>
        <w:t xml:space="preserve">Cohen v Cohen </w:t>
      </w:r>
      <w:r w:rsidR="00852CEF">
        <w:rPr>
          <w:lang w:val="en-GB"/>
        </w:rPr>
        <w:t xml:space="preserve">      </w:t>
      </w:r>
      <w:r>
        <w:rPr>
          <w:lang w:val="en-GB"/>
        </w:rPr>
        <w:t>and Anoth</w:t>
      </w:r>
      <w:r w:rsidR="004B1ACE">
        <w:rPr>
          <w:lang w:val="en-GB"/>
        </w:rPr>
        <w:t>er 200</w:t>
      </w:r>
      <w:r w:rsidR="00BD75C0">
        <w:rPr>
          <w:lang w:val="en-GB"/>
        </w:rPr>
        <w:t>3 (1) SA 103 (C) para 14.</w:t>
      </w:r>
    </w:p>
  </w:footnote>
  <w:footnote w:id="23">
    <w:p w14:paraId="4D415F59" w14:textId="77777777" w:rsidR="00362870" w:rsidRPr="000F0053" w:rsidRDefault="00362870" w:rsidP="00DF42EF">
      <w:pPr>
        <w:pStyle w:val="FootnoteText"/>
        <w:jc w:val="both"/>
        <w:rPr>
          <w:lang w:val="en-GB"/>
        </w:rPr>
      </w:pPr>
      <w:r>
        <w:rPr>
          <w:rStyle w:val="FootnoteReference"/>
        </w:rPr>
        <w:footnoteRef/>
      </w:r>
      <w:r>
        <w:t xml:space="preserve"> </w:t>
      </w:r>
      <w:r w:rsidRPr="000F0053">
        <w:rPr>
          <w:rFonts w:cstheme="minorHAnsi"/>
        </w:rPr>
        <w:t>2017(4) BCLR 445 (CC) at para 20</w:t>
      </w:r>
      <w:r w:rsidR="00BD75C0">
        <w:rPr>
          <w:rFonts w:cstheme="minorHAnsi"/>
        </w:rPr>
        <w:t>.</w:t>
      </w:r>
    </w:p>
  </w:footnote>
  <w:footnote w:id="24">
    <w:p w14:paraId="5FF3C30E" w14:textId="77777777" w:rsidR="00362870" w:rsidRPr="000F0053" w:rsidRDefault="00362870" w:rsidP="00DF42EF">
      <w:pPr>
        <w:pStyle w:val="FootnoteText"/>
        <w:jc w:val="both"/>
        <w:rPr>
          <w:lang w:val="en-GB"/>
        </w:rPr>
      </w:pPr>
      <w:r>
        <w:rPr>
          <w:rStyle w:val="FootnoteReference"/>
        </w:rPr>
        <w:footnoteRef/>
      </w:r>
      <w:r w:rsidR="00DC7D58" w:rsidRPr="00A55628">
        <w:rPr>
          <w:rFonts w:cstheme="minorHAnsi"/>
        </w:rPr>
        <w:t>Bisset and Others v Boland Bank Ltd and Others</w:t>
      </w:r>
      <w:r w:rsidR="00DC7D58" w:rsidRPr="00DC7D58">
        <w:rPr>
          <w:rFonts w:cstheme="minorHAnsi"/>
        </w:rPr>
        <w:t xml:space="preserve"> </w:t>
      </w:r>
      <w:r w:rsidR="00DC7D58" w:rsidRPr="00DC7D58">
        <w:rPr>
          <w:rFonts w:cstheme="minorHAnsi"/>
          <w:i/>
        </w:rPr>
        <w:t>supra</w:t>
      </w:r>
      <w:r w:rsidR="00A55628">
        <w:rPr>
          <w:rFonts w:cstheme="minorHAnsi"/>
          <w:i/>
        </w:rPr>
        <w:t xml:space="preserve">; </w:t>
      </w:r>
      <w:r w:rsidR="00A55628" w:rsidRPr="00A55628">
        <w:rPr>
          <w:rFonts w:cstheme="minorHAnsi"/>
        </w:rPr>
        <w:t>at para</w:t>
      </w:r>
      <w:r w:rsidR="00A55628">
        <w:rPr>
          <w:rFonts w:cstheme="minorHAnsi"/>
        </w:rPr>
        <w:t xml:space="preserve"> 12; Phillips v Botha 1999 (2) SA 555 (SCA) at 565 F-H</w:t>
      </w:r>
      <w:r w:rsidR="00BD75C0">
        <w:rPr>
          <w:rFonts w:cstheme="minorHAnsi"/>
        </w:rPr>
        <w:t>.</w:t>
      </w:r>
    </w:p>
  </w:footnote>
  <w:footnote w:id="25">
    <w:p w14:paraId="258ED53E" w14:textId="77777777" w:rsidR="00362870" w:rsidRPr="001D29AA" w:rsidRDefault="00362870" w:rsidP="000E5201">
      <w:pPr>
        <w:pStyle w:val="FootnoteText"/>
        <w:jc w:val="both"/>
        <w:rPr>
          <w:lang w:val="en-GB"/>
        </w:rPr>
      </w:pPr>
      <w:r>
        <w:rPr>
          <w:rStyle w:val="FootnoteReference"/>
        </w:rPr>
        <w:footnoteRef/>
      </w:r>
      <w:r>
        <w:t xml:space="preserve"> </w:t>
      </w:r>
      <w:r w:rsidR="00DC7D58">
        <w:rPr>
          <w:lang w:val="en-GB"/>
        </w:rPr>
        <w:t>Id at para 24</w:t>
      </w:r>
      <w:r w:rsidR="00BD75C0">
        <w:rPr>
          <w:lang w:val="en-GB"/>
        </w:rPr>
        <w:t>.</w:t>
      </w:r>
    </w:p>
  </w:footnote>
  <w:footnote w:id="26">
    <w:p w14:paraId="7397673D" w14:textId="77777777" w:rsidR="00362870" w:rsidRPr="00983423" w:rsidRDefault="00362870" w:rsidP="000E5201">
      <w:pPr>
        <w:pStyle w:val="FootnoteText"/>
        <w:jc w:val="both"/>
        <w:rPr>
          <w:lang w:val="en-GB"/>
        </w:rPr>
      </w:pPr>
      <w:r>
        <w:rPr>
          <w:rStyle w:val="FootnoteReference"/>
        </w:rPr>
        <w:footnoteRef/>
      </w:r>
      <w:r>
        <w:t xml:space="preserve"> </w:t>
      </w:r>
      <w:r w:rsidR="000E5201" w:rsidRPr="000E5201">
        <w:rPr>
          <w:rFonts w:cs="Arial"/>
        </w:rPr>
        <w:t>South African Broadcasting Corporation Ltd v National Director of Public Prosecutions</w:t>
      </w:r>
      <w:r w:rsidR="000E5201">
        <w:rPr>
          <w:rFonts w:cs="Arial"/>
        </w:rPr>
        <w:t xml:space="preserve"> and Others</w:t>
      </w:r>
      <w:r w:rsidR="000E5201" w:rsidRPr="00983423">
        <w:rPr>
          <w:rFonts w:cstheme="minorHAnsi"/>
        </w:rPr>
        <w:t xml:space="preserve"> </w:t>
      </w:r>
      <w:r w:rsidR="000E5201">
        <w:rPr>
          <w:rFonts w:cstheme="minorHAnsi"/>
        </w:rPr>
        <w:t>2007 (1) SA 523</w:t>
      </w:r>
      <w:r w:rsidRPr="00983423">
        <w:rPr>
          <w:rFonts w:cstheme="minorHAnsi"/>
        </w:rPr>
        <w:t xml:space="preserve"> (CC) at para 90</w:t>
      </w:r>
      <w:r w:rsidR="00BD75C0">
        <w:rPr>
          <w:rFonts w:cstheme="minorHAnsi"/>
        </w:rPr>
        <w:t>.</w:t>
      </w:r>
    </w:p>
  </w:footnote>
  <w:footnote w:id="27">
    <w:p w14:paraId="12608673" w14:textId="77777777" w:rsidR="00362870" w:rsidRPr="00983423" w:rsidRDefault="00362870" w:rsidP="000E5201">
      <w:pPr>
        <w:pStyle w:val="FootnoteText"/>
        <w:jc w:val="both"/>
        <w:rPr>
          <w:lang w:val="en-GB"/>
        </w:rPr>
      </w:pPr>
      <w:r>
        <w:rPr>
          <w:rStyle w:val="FootnoteReference"/>
        </w:rPr>
        <w:footnoteRef/>
      </w:r>
      <w:r>
        <w:t xml:space="preserve"> </w:t>
      </w:r>
      <w:r>
        <w:rPr>
          <w:lang w:val="en-GB"/>
        </w:rPr>
        <w:t>2006 (2) BCLR 274 (CC) at para 47</w:t>
      </w:r>
      <w:r w:rsidR="00BD75C0">
        <w:rPr>
          <w:lang w:val="en-GB"/>
        </w:rPr>
        <w:t>.</w:t>
      </w:r>
    </w:p>
  </w:footnote>
  <w:footnote w:id="28">
    <w:p w14:paraId="1C12A3D9" w14:textId="77777777" w:rsidR="00362870" w:rsidRPr="00983423" w:rsidRDefault="00362870" w:rsidP="000E5201">
      <w:pPr>
        <w:pStyle w:val="FootnoteText"/>
        <w:jc w:val="both"/>
        <w:rPr>
          <w:lang w:val="en-GB"/>
        </w:rPr>
      </w:pPr>
      <w:r>
        <w:rPr>
          <w:rStyle w:val="FootnoteReference"/>
        </w:rPr>
        <w:footnoteRef/>
      </w:r>
      <w:r>
        <w:t xml:space="preserve"> </w:t>
      </w:r>
      <w:r w:rsidRPr="00983423">
        <w:rPr>
          <w:rFonts w:cstheme="minorHAnsi"/>
        </w:rPr>
        <w:t>1997 (3) SA 721 (SCA) at 734</w:t>
      </w:r>
      <w:r w:rsidR="000852C5">
        <w:rPr>
          <w:rFonts w:cstheme="minorHAnsi"/>
        </w:rPr>
        <w:t xml:space="preserve"> D-H</w:t>
      </w:r>
      <w:r w:rsidR="00BD75C0">
        <w:rPr>
          <w:rFonts w:cstheme="minorHAnsi"/>
        </w:rPr>
        <w:t>.</w:t>
      </w:r>
    </w:p>
  </w:footnote>
  <w:footnote w:id="29">
    <w:p w14:paraId="12248CE8" w14:textId="77777777" w:rsidR="00362870" w:rsidRPr="00983423" w:rsidRDefault="00362870" w:rsidP="000E5201">
      <w:pPr>
        <w:pStyle w:val="FootnoteText"/>
        <w:jc w:val="both"/>
        <w:rPr>
          <w:lang w:val="en-GB"/>
        </w:rPr>
      </w:pPr>
      <w:r>
        <w:rPr>
          <w:rStyle w:val="FootnoteReference"/>
        </w:rPr>
        <w:footnoteRef/>
      </w:r>
      <w:r>
        <w:t xml:space="preserve"> </w:t>
      </w:r>
      <w:r>
        <w:rPr>
          <w:lang w:val="en-GB"/>
        </w:rPr>
        <w:t xml:space="preserve">Cohen v Cohen </w:t>
      </w:r>
      <w:r w:rsidR="00852CEF" w:rsidRPr="00852CEF">
        <w:rPr>
          <w:rFonts w:cs="Arial"/>
        </w:rPr>
        <w:t>2003 (1) SA 103 (C)</w:t>
      </w:r>
      <w:r w:rsidR="00852CEF">
        <w:rPr>
          <w:rFonts w:cs="Arial"/>
        </w:rPr>
        <w:t xml:space="preserve"> at para 14</w:t>
      </w:r>
      <w:r w:rsidR="00BD75C0">
        <w:rPr>
          <w:rFonts w:cs="Arial"/>
        </w:rPr>
        <w:t>.</w:t>
      </w:r>
    </w:p>
  </w:footnote>
  <w:footnote w:id="30">
    <w:p w14:paraId="1F3E684A" w14:textId="77777777" w:rsidR="001365AA" w:rsidRPr="00983423" w:rsidRDefault="001365AA" w:rsidP="001365AA">
      <w:pPr>
        <w:pStyle w:val="FootnoteText"/>
        <w:jc w:val="both"/>
        <w:rPr>
          <w:lang w:val="en-GB"/>
        </w:rPr>
      </w:pPr>
      <w:r>
        <w:rPr>
          <w:rStyle w:val="FootnoteReference"/>
        </w:rPr>
        <w:footnoteRef/>
      </w:r>
      <w:r>
        <w:t xml:space="preserve"> </w:t>
      </w:r>
      <w:r>
        <w:rPr>
          <w:lang w:val="en-GB"/>
        </w:rPr>
        <w:t>1999 (2) SA 555 (SCA) at 565 E-H.</w:t>
      </w:r>
    </w:p>
  </w:footnote>
  <w:footnote w:id="31">
    <w:p w14:paraId="3833A7B7" w14:textId="77777777" w:rsidR="00362870" w:rsidRPr="00983423" w:rsidRDefault="00362870" w:rsidP="0039130B">
      <w:pPr>
        <w:pStyle w:val="FootnoteText"/>
        <w:jc w:val="both"/>
        <w:rPr>
          <w:lang w:val="en-GB"/>
        </w:rPr>
      </w:pPr>
      <w:r>
        <w:rPr>
          <w:rStyle w:val="FootnoteReference"/>
        </w:rPr>
        <w:footnoteRef/>
      </w:r>
      <w:r w:rsidR="006B1EAE">
        <w:rPr>
          <w:rFonts w:cstheme="minorHAnsi"/>
        </w:rPr>
        <w:t xml:space="preserve"> 2015 (4) SA 299 (GJ).</w:t>
      </w:r>
    </w:p>
  </w:footnote>
  <w:footnote w:id="32">
    <w:p w14:paraId="30B5E03D" w14:textId="77777777" w:rsidR="00362870" w:rsidRPr="00E00264" w:rsidRDefault="00362870" w:rsidP="0039130B">
      <w:pPr>
        <w:pStyle w:val="FootnoteText"/>
        <w:jc w:val="both"/>
        <w:rPr>
          <w:lang w:val="en-GB"/>
        </w:rPr>
      </w:pPr>
      <w:r>
        <w:rPr>
          <w:rStyle w:val="FootnoteReference"/>
        </w:rPr>
        <w:footnoteRef/>
      </w:r>
      <w:r>
        <w:t xml:space="preserve"> </w:t>
      </w:r>
      <w:r w:rsidRPr="00E00264">
        <w:rPr>
          <w:rFonts w:cstheme="minorHAnsi"/>
        </w:rPr>
        <w:t>2016 (5) SA 455 (SCA) at para 37</w:t>
      </w:r>
      <w:r w:rsidR="00BD75C0">
        <w:rPr>
          <w:rFonts w:cstheme="minorHAnsi"/>
        </w:rPr>
        <w:t>.</w:t>
      </w:r>
    </w:p>
  </w:footnote>
  <w:footnote w:id="33">
    <w:p w14:paraId="4C6845F2" w14:textId="77777777" w:rsidR="00362870" w:rsidRPr="00E00264" w:rsidRDefault="00362870" w:rsidP="0039130B">
      <w:pPr>
        <w:pStyle w:val="FootnoteText"/>
        <w:jc w:val="both"/>
        <w:rPr>
          <w:lang w:val="en-GB"/>
        </w:rPr>
      </w:pPr>
      <w:r>
        <w:rPr>
          <w:rStyle w:val="FootnoteReference"/>
        </w:rPr>
        <w:footnoteRef/>
      </w:r>
      <w:r>
        <w:t xml:space="preserve"> </w:t>
      </w:r>
      <w:r>
        <w:rPr>
          <w:lang w:val="en-GB"/>
        </w:rPr>
        <w:t>[2004] 3 All SA 20 (SCA) at para 50</w:t>
      </w:r>
      <w:r w:rsidR="00BD75C0">
        <w:rPr>
          <w:lang w:val="en-GB"/>
        </w:rPr>
        <w:t>.</w:t>
      </w:r>
    </w:p>
  </w:footnote>
  <w:footnote w:id="34">
    <w:p w14:paraId="5750412F" w14:textId="77777777" w:rsidR="00362870" w:rsidRPr="00C96E04" w:rsidRDefault="00362870" w:rsidP="0039130B">
      <w:pPr>
        <w:pStyle w:val="FootnoteText"/>
        <w:jc w:val="both"/>
        <w:rPr>
          <w:lang w:val="en-GB"/>
        </w:rPr>
      </w:pPr>
      <w:r>
        <w:rPr>
          <w:rStyle w:val="FootnoteReference"/>
        </w:rPr>
        <w:footnoteRef/>
      </w:r>
      <w:r>
        <w:t xml:space="preserve"> </w:t>
      </w:r>
      <w:r>
        <w:rPr>
          <w:lang w:val="en-GB"/>
        </w:rPr>
        <w:t>20</w:t>
      </w:r>
      <w:r w:rsidR="006F48D0">
        <w:rPr>
          <w:lang w:val="en-GB"/>
        </w:rPr>
        <w:t>20 (1) SA 327 (CC) at para 40 t</w:t>
      </w:r>
      <w:r>
        <w:rPr>
          <w:lang w:val="en-GB"/>
        </w:rPr>
        <w:t xml:space="preserve">he court referred with approval to </w:t>
      </w:r>
      <w:r>
        <w:rPr>
          <w:lang w:val="en-GB"/>
        </w:rPr>
        <w:t>Beinash v Wigley</w:t>
      </w:r>
      <w:r w:rsidR="00A55628">
        <w:rPr>
          <w:lang w:val="en-GB"/>
        </w:rPr>
        <w:t xml:space="preserve"> 1997 (3) SA 721 (SCA)</w:t>
      </w:r>
      <w:r w:rsidR="006F48D0">
        <w:rPr>
          <w:lang w:val="en-GB"/>
        </w:rPr>
        <w:t xml:space="preserve"> </w:t>
      </w:r>
      <w:r>
        <w:rPr>
          <w:lang w:val="en-GB"/>
        </w:rPr>
        <w:t>in this regard. Plaintiff contends that this case is not relevant to the use of the abuse doctrine as a defence to a substantive claim</w:t>
      </w:r>
      <w:r w:rsidR="006F48D0">
        <w:rPr>
          <w:lang w:val="en-GB"/>
        </w:rPr>
        <w:t xml:space="preserve">, and the statement was </w:t>
      </w:r>
      <w:r w:rsidR="006F48D0" w:rsidRPr="004B1ACE">
        <w:rPr>
          <w:i/>
          <w:lang w:val="en-GB"/>
        </w:rPr>
        <w:t>obiter</w:t>
      </w:r>
      <w:r w:rsidR="006F48D0">
        <w:rPr>
          <w:lang w:val="en-GB"/>
        </w:rPr>
        <w:t>.</w:t>
      </w:r>
    </w:p>
  </w:footnote>
  <w:footnote w:id="35">
    <w:p w14:paraId="3CE193F9" w14:textId="77777777" w:rsidR="00362870" w:rsidRPr="00C96E04" w:rsidRDefault="00362870" w:rsidP="0039130B">
      <w:pPr>
        <w:pStyle w:val="FootnoteText"/>
        <w:jc w:val="both"/>
        <w:rPr>
          <w:lang w:val="en-GB"/>
        </w:rPr>
      </w:pPr>
      <w:r>
        <w:rPr>
          <w:rStyle w:val="FootnoteReference"/>
        </w:rPr>
        <w:footnoteRef/>
      </w:r>
      <w:r>
        <w:t xml:space="preserve"> </w:t>
      </w:r>
      <w:r>
        <w:rPr>
          <w:lang w:val="en-GB"/>
        </w:rPr>
        <w:t>Id</w:t>
      </w:r>
      <w:r w:rsidR="00D67E5C">
        <w:rPr>
          <w:lang w:val="en-GB"/>
        </w:rPr>
        <w:t xml:space="preserve"> at para 6</w:t>
      </w:r>
      <w:r w:rsidR="00BD75C0">
        <w:rPr>
          <w:lang w:val="en-GB"/>
        </w:rPr>
        <w:t>.</w:t>
      </w:r>
    </w:p>
  </w:footnote>
  <w:footnote w:id="36">
    <w:p w14:paraId="34F68083" w14:textId="77777777" w:rsidR="00362870" w:rsidRPr="00641EFE" w:rsidRDefault="00362870" w:rsidP="0039130B">
      <w:pPr>
        <w:pStyle w:val="FootnoteText"/>
        <w:jc w:val="both"/>
        <w:rPr>
          <w:rFonts w:cstheme="minorHAnsi"/>
        </w:rPr>
      </w:pPr>
      <w:r>
        <w:rPr>
          <w:rStyle w:val="FootnoteReference"/>
        </w:rPr>
        <w:footnoteRef/>
      </w:r>
      <w:r>
        <w:t xml:space="preserve"> </w:t>
      </w:r>
      <w:r w:rsidRPr="00376858">
        <w:rPr>
          <w:rFonts w:cstheme="minorHAnsi"/>
        </w:rPr>
        <w:t>2002</w:t>
      </w:r>
      <w:r w:rsidR="006F48D0">
        <w:rPr>
          <w:rFonts w:cstheme="minorHAnsi"/>
        </w:rPr>
        <w:t xml:space="preserve"> </w:t>
      </w:r>
      <w:r w:rsidRPr="00376858">
        <w:rPr>
          <w:rFonts w:cstheme="minorHAnsi"/>
        </w:rPr>
        <w:t>(5) 401 (CC) at para 21</w:t>
      </w:r>
      <w:r w:rsidR="006F48D0">
        <w:rPr>
          <w:rFonts w:cstheme="minorHAnsi"/>
        </w:rPr>
        <w:t>; A</w:t>
      </w:r>
      <w:r>
        <w:rPr>
          <w:rFonts w:cstheme="minorHAnsi"/>
        </w:rPr>
        <w:t xml:space="preserve">lso see Laugh It Off Promotions CC v SAB International (Finance) BV t/a </w:t>
      </w:r>
      <w:r>
        <w:rPr>
          <w:rFonts w:cstheme="minorHAnsi"/>
        </w:rPr>
        <w:t>Sabmark International and Another 2005 (8) BCLR 743 (CC) at para 45</w:t>
      </w:r>
      <w:r w:rsidR="00BD75C0">
        <w:rPr>
          <w:rFonts w:cstheme="minorHAnsi"/>
        </w:rPr>
        <w:t>.</w:t>
      </w:r>
    </w:p>
  </w:footnote>
  <w:footnote w:id="37">
    <w:p w14:paraId="6FACFF3F" w14:textId="77777777" w:rsidR="00362870" w:rsidRPr="00641EFE" w:rsidRDefault="00362870" w:rsidP="0039130B">
      <w:pPr>
        <w:pStyle w:val="FootnoteText"/>
        <w:jc w:val="both"/>
        <w:rPr>
          <w:lang w:val="en-GB"/>
        </w:rPr>
      </w:pPr>
      <w:r>
        <w:rPr>
          <w:rStyle w:val="FootnoteReference"/>
        </w:rPr>
        <w:footnoteRef/>
      </w:r>
      <w:r>
        <w:t xml:space="preserve"> </w:t>
      </w:r>
      <w:r w:rsidRPr="00641EFE">
        <w:rPr>
          <w:rFonts w:cstheme="minorHAnsi"/>
        </w:rPr>
        <w:t>South African National Defence Union v Minister of Defence &amp; Ano</w:t>
      </w:r>
      <w:r w:rsidR="00803BDD">
        <w:rPr>
          <w:rFonts w:cstheme="minorHAnsi"/>
        </w:rPr>
        <w:t>ther 1999(4) 469 (CC) at para 7</w:t>
      </w:r>
      <w:r w:rsidR="00BD75C0">
        <w:rPr>
          <w:rFonts w:cstheme="minorHAnsi"/>
        </w:rPr>
        <w:t>.</w:t>
      </w:r>
    </w:p>
  </w:footnote>
  <w:footnote w:id="38">
    <w:p w14:paraId="5AC91609" w14:textId="77777777" w:rsidR="00362870" w:rsidRPr="00641F3C" w:rsidRDefault="00362870" w:rsidP="00DF42EF">
      <w:pPr>
        <w:pStyle w:val="FootnoteText"/>
        <w:jc w:val="both"/>
        <w:rPr>
          <w:lang w:val="en-GB"/>
        </w:rPr>
      </w:pPr>
      <w:r>
        <w:rPr>
          <w:rStyle w:val="FootnoteReference"/>
        </w:rPr>
        <w:footnoteRef/>
      </w:r>
      <w:r>
        <w:t xml:space="preserve"> </w:t>
      </w:r>
      <w:r>
        <w:rPr>
          <w:lang w:val="en-GB"/>
        </w:rPr>
        <w:t>Midi Television (Pty) Ltd t/</w:t>
      </w:r>
      <w:r>
        <w:rPr>
          <w:lang w:val="en-GB"/>
        </w:rPr>
        <w:t>a E-TV v Director of Public Prosecutions (Western Cape) 2007 (5) SA 540 (SCA) at para 15; Print Media South Africa and Another v Minister of Home Affairs and Another 2012 (6) SA 443 (CC) at para 44</w:t>
      </w:r>
      <w:r w:rsidR="00803BDD">
        <w:rPr>
          <w:lang w:val="en-GB"/>
        </w:rPr>
        <w:t>.</w:t>
      </w:r>
    </w:p>
  </w:footnote>
  <w:footnote w:id="39">
    <w:p w14:paraId="6F5F44BD" w14:textId="77777777" w:rsidR="00362870" w:rsidRPr="004D2B6B" w:rsidRDefault="00362870" w:rsidP="00DF42EF">
      <w:pPr>
        <w:pStyle w:val="FootnoteText"/>
        <w:jc w:val="both"/>
        <w:rPr>
          <w:lang w:val="en-GB"/>
        </w:rPr>
      </w:pPr>
      <w:r>
        <w:rPr>
          <w:rStyle w:val="FootnoteReference"/>
        </w:rPr>
        <w:footnoteRef/>
      </w:r>
      <w:r>
        <w:t xml:space="preserve"> </w:t>
      </w:r>
      <w:r>
        <w:rPr>
          <w:lang w:val="en-GB"/>
        </w:rPr>
        <w:t xml:space="preserve">G </w:t>
      </w:r>
      <w:r>
        <w:rPr>
          <w:lang w:val="en-GB"/>
        </w:rPr>
        <w:t>Pring &amp; P Canan SLAPPs: Getting Sued for Speaking Out (1996) 8-9</w:t>
      </w:r>
      <w:r w:rsidR="00BD75C0">
        <w:rPr>
          <w:lang w:val="en-GB"/>
        </w:rPr>
        <w:t>.</w:t>
      </w:r>
    </w:p>
  </w:footnote>
  <w:footnote w:id="40">
    <w:p w14:paraId="34DCEEF6" w14:textId="77777777" w:rsidR="00362870" w:rsidRPr="0001654B" w:rsidRDefault="00362870" w:rsidP="00DF42EF">
      <w:pPr>
        <w:pStyle w:val="FootnoteText"/>
        <w:jc w:val="both"/>
        <w:rPr>
          <w:lang w:val="en-GB"/>
        </w:rPr>
      </w:pPr>
      <w:r>
        <w:rPr>
          <w:rStyle w:val="FootnoteReference"/>
        </w:rPr>
        <w:footnoteRef/>
      </w:r>
      <w:r>
        <w:t xml:space="preserve"> </w:t>
      </w:r>
      <w:r>
        <w:rPr>
          <w:lang w:val="en-GB"/>
        </w:rPr>
        <w:t xml:space="preserve">P </w:t>
      </w:r>
      <w:r>
        <w:rPr>
          <w:lang w:val="en-GB"/>
        </w:rPr>
        <w:t>Canan and GW Pring (1988), “Strategic Lawsuits Against Public Participation”, Social Problems, Vol. 35</w:t>
      </w:r>
      <w:r w:rsidR="00803BDD">
        <w:rPr>
          <w:lang w:val="en-GB"/>
        </w:rPr>
        <w:t xml:space="preserve"> </w:t>
      </w:r>
      <w:r>
        <w:rPr>
          <w:lang w:val="en-GB"/>
        </w:rPr>
        <w:t xml:space="preserve">No. 5, pp. 506-519; P Canan (1989), “The SLAPP from, a Sociological Perspective”, Pace Environmental Law Review, Vol. 7 No. 1, pp. 23-32; GW </w:t>
      </w:r>
      <w:r>
        <w:rPr>
          <w:lang w:val="en-GB"/>
        </w:rPr>
        <w:t>Pring  (1989), “SLAPPs: Strategic Lawsuits against Public Participation”, Pace Environmental Law Review, Vol. 7, No. 1, pp. 3-22</w:t>
      </w:r>
      <w:r w:rsidR="00BD75C0">
        <w:rPr>
          <w:lang w:val="en-GB"/>
        </w:rPr>
        <w:t>.</w:t>
      </w:r>
    </w:p>
  </w:footnote>
  <w:footnote w:id="41">
    <w:p w14:paraId="1AC82737" w14:textId="77777777" w:rsidR="00362870" w:rsidRPr="00490106" w:rsidRDefault="00362870" w:rsidP="00DF42EF">
      <w:pPr>
        <w:pStyle w:val="FootnoteText"/>
        <w:jc w:val="both"/>
        <w:rPr>
          <w:lang w:val="en-GB"/>
        </w:rPr>
      </w:pPr>
      <w:r>
        <w:rPr>
          <w:rStyle w:val="FootnoteReference"/>
        </w:rPr>
        <w:footnoteRef/>
      </w:r>
      <w:r>
        <w:t xml:space="preserve"> </w:t>
      </w:r>
      <w:r w:rsidR="00803BDD">
        <w:t>Murombo &amp; Valentine, SLAPP Suits: An Emerging Obstacle to Public Interest Environmental Litigation in South Africa 2011 27 SAJHR 82 at 86</w:t>
      </w:r>
      <w:r w:rsidR="00064A31">
        <w:t>.</w:t>
      </w:r>
    </w:p>
  </w:footnote>
  <w:footnote w:id="42">
    <w:p w14:paraId="0B952646" w14:textId="77777777" w:rsidR="00362870" w:rsidRPr="00490106" w:rsidRDefault="00362870" w:rsidP="0039130B">
      <w:pPr>
        <w:pStyle w:val="FootnoteText"/>
        <w:jc w:val="both"/>
        <w:rPr>
          <w:lang w:val="en-GB"/>
        </w:rPr>
      </w:pPr>
      <w:r>
        <w:rPr>
          <w:rStyle w:val="FootnoteReference"/>
        </w:rPr>
        <w:footnoteRef/>
      </w:r>
      <w:r>
        <w:t xml:space="preserve"> </w:t>
      </w:r>
      <w:r w:rsidR="00803BDD">
        <w:t xml:space="preserve">Id at para </w:t>
      </w:r>
      <w:r w:rsidR="00FB353B">
        <w:t>84</w:t>
      </w:r>
      <w:r w:rsidR="00BD75C0">
        <w:t>.</w:t>
      </w:r>
    </w:p>
  </w:footnote>
  <w:footnote w:id="43">
    <w:p w14:paraId="73EA153B" w14:textId="77777777" w:rsidR="00362870" w:rsidRPr="009B2008" w:rsidRDefault="00362870" w:rsidP="0039130B">
      <w:pPr>
        <w:pStyle w:val="FootnoteText"/>
        <w:jc w:val="both"/>
        <w:rPr>
          <w:lang w:val="en-GB"/>
        </w:rPr>
      </w:pPr>
      <w:r>
        <w:rPr>
          <w:rStyle w:val="FootnoteReference"/>
        </w:rPr>
        <w:footnoteRef/>
      </w:r>
      <w:r w:rsidR="00BE41E0">
        <w:t xml:space="preserve"> </w:t>
      </w:r>
      <w:r>
        <w:t xml:space="preserve">See the California Anti-SLAPP Public Participation Project website for an up-to-date list of States with anti-SLAPP measures in place or </w:t>
      </w:r>
      <w:r w:rsidR="00BD75C0">
        <w:t>pending, found at anti-slap.org.</w:t>
      </w:r>
    </w:p>
  </w:footnote>
  <w:footnote w:id="44">
    <w:p w14:paraId="763D7569" w14:textId="77777777" w:rsidR="00362870" w:rsidRPr="005E405A" w:rsidRDefault="00362870" w:rsidP="0039130B">
      <w:pPr>
        <w:pStyle w:val="FootnoteText"/>
        <w:jc w:val="both"/>
        <w:rPr>
          <w:lang w:val="en-GB"/>
        </w:rPr>
      </w:pPr>
      <w:r>
        <w:rPr>
          <w:rStyle w:val="FootnoteReference"/>
        </w:rPr>
        <w:footnoteRef/>
      </w:r>
      <w:r>
        <w:t xml:space="preserve"> </w:t>
      </w:r>
      <w:r w:rsidR="00FB353B">
        <w:rPr>
          <w:lang w:val="en-GB"/>
        </w:rPr>
        <w:t>F</w:t>
      </w:r>
      <w:r>
        <w:rPr>
          <w:lang w:val="en-GB"/>
        </w:rPr>
        <w:t>or example, the following 3 provinces: Quebec Article 54 of the Code of Civil Procedure; Ontario, Protection of Public Participation Act 2015; British Columbia, Protection of Public Participation Act</w:t>
      </w:r>
      <w:r w:rsidR="00FB353B">
        <w:rPr>
          <w:lang w:val="en-GB"/>
        </w:rPr>
        <w:t>,</w:t>
      </w:r>
      <w:r>
        <w:rPr>
          <w:lang w:val="en-GB"/>
        </w:rPr>
        <w:t xml:space="preserve"> 2019</w:t>
      </w:r>
      <w:r w:rsidR="00BD75C0">
        <w:rPr>
          <w:lang w:val="en-GB"/>
        </w:rPr>
        <w:t>.</w:t>
      </w:r>
    </w:p>
  </w:footnote>
  <w:footnote w:id="45">
    <w:p w14:paraId="2ECE3C73" w14:textId="77777777" w:rsidR="00362870" w:rsidRPr="005E405A" w:rsidRDefault="00362870" w:rsidP="0039130B">
      <w:pPr>
        <w:pStyle w:val="FootnoteText"/>
        <w:jc w:val="both"/>
        <w:rPr>
          <w:lang w:val="en-GB"/>
        </w:rPr>
      </w:pPr>
      <w:r>
        <w:rPr>
          <w:rStyle w:val="FootnoteReference"/>
        </w:rPr>
        <w:footnoteRef/>
      </w:r>
      <w:r>
        <w:t xml:space="preserve"> </w:t>
      </w:r>
      <w:r>
        <w:rPr>
          <w:lang w:val="en-GB"/>
        </w:rPr>
        <w:t>Australian Uniform National Defamation Laws, 2006 read with Australian Capital Territory’s state legislation, the Protect</w:t>
      </w:r>
      <w:r w:rsidR="00FB353B">
        <w:rPr>
          <w:lang w:val="en-GB"/>
        </w:rPr>
        <w:t xml:space="preserve">ion of Public Participation Act, </w:t>
      </w:r>
      <w:r>
        <w:rPr>
          <w:lang w:val="en-GB"/>
        </w:rPr>
        <w:t>2008</w:t>
      </w:r>
      <w:r w:rsidR="00BD75C0">
        <w:rPr>
          <w:lang w:val="en-GB"/>
        </w:rPr>
        <w:t>.</w:t>
      </w:r>
    </w:p>
  </w:footnote>
  <w:footnote w:id="46">
    <w:p w14:paraId="38F1D2A2" w14:textId="77777777" w:rsidR="00C227BF" w:rsidRPr="00490106" w:rsidRDefault="00C227BF" w:rsidP="0039130B">
      <w:pPr>
        <w:pStyle w:val="FootnoteText"/>
        <w:jc w:val="both"/>
        <w:rPr>
          <w:lang w:val="en-GB"/>
        </w:rPr>
      </w:pPr>
      <w:r>
        <w:rPr>
          <w:rStyle w:val="FootnoteReference"/>
        </w:rPr>
        <w:footnoteRef/>
      </w:r>
      <w:r>
        <w:t xml:space="preserve"> Section 425. 16 (b) (</w:t>
      </w:r>
      <w:r w:rsidR="00E93209">
        <w:t>1</w:t>
      </w:r>
      <w:r>
        <w:t>) of the California Code of Civil Procedure</w:t>
      </w:r>
      <w:r w:rsidR="00BD75C0">
        <w:t>.</w:t>
      </w:r>
    </w:p>
  </w:footnote>
  <w:footnote w:id="47">
    <w:p w14:paraId="302A55F0" w14:textId="77777777" w:rsidR="00362870" w:rsidRPr="00490106" w:rsidRDefault="00362870" w:rsidP="0039130B">
      <w:pPr>
        <w:pStyle w:val="FootnoteText"/>
        <w:jc w:val="both"/>
        <w:rPr>
          <w:lang w:val="en-GB"/>
        </w:rPr>
      </w:pPr>
      <w:r>
        <w:rPr>
          <w:rStyle w:val="FootnoteReference"/>
        </w:rPr>
        <w:footnoteRef/>
      </w:r>
      <w:r>
        <w:t xml:space="preserve"> Section 9 – 11 – 11 – </w:t>
      </w:r>
      <w:r w:rsidR="00E93209">
        <w:t>1 (a) of the Civil Procedure Act</w:t>
      </w:r>
      <w:r w:rsidR="00BD75C0">
        <w:t>.</w:t>
      </w:r>
    </w:p>
  </w:footnote>
  <w:footnote w:id="48">
    <w:p w14:paraId="632F9DCB" w14:textId="77777777" w:rsidR="00BE41E0" w:rsidRPr="00BE41E0" w:rsidRDefault="00BE41E0">
      <w:pPr>
        <w:pStyle w:val="FootnoteText"/>
        <w:rPr>
          <w:lang w:val="en-GB"/>
        </w:rPr>
      </w:pPr>
      <w:r>
        <w:rPr>
          <w:rStyle w:val="FootnoteReference"/>
        </w:rPr>
        <w:footnoteRef/>
      </w:r>
      <w:r>
        <w:t xml:space="preserve"> </w:t>
      </w:r>
      <w:r>
        <w:rPr>
          <w:lang w:val="en-GB"/>
        </w:rPr>
        <w:t xml:space="preserve">Subsection 3 (e) of the Code of Civil Procedure covers communication before a legislature, executive, judiciary; any statement made in a public place or public forum in connection with an issue of public interest; </w:t>
      </w:r>
      <w:r w:rsidR="003A3D96">
        <w:rPr>
          <w:lang w:val="en-GB"/>
        </w:rPr>
        <w:t>or any other conduct in the furtherance of the exercise of the Constitutional right to petition or to free speech in connection with a public issue or issue of public interest.</w:t>
      </w:r>
    </w:p>
  </w:footnote>
  <w:footnote w:id="49">
    <w:p w14:paraId="34C56B22" w14:textId="77777777" w:rsidR="00362870" w:rsidRPr="001D2F6E" w:rsidRDefault="00362870" w:rsidP="0039130B">
      <w:pPr>
        <w:pStyle w:val="FootnoteText"/>
        <w:jc w:val="both"/>
        <w:rPr>
          <w:lang w:val="en-GB"/>
        </w:rPr>
      </w:pPr>
      <w:r>
        <w:rPr>
          <w:rStyle w:val="FootnoteReference"/>
        </w:rPr>
        <w:footnoteRef/>
      </w:r>
      <w:r>
        <w:t xml:space="preserve"> </w:t>
      </w:r>
      <w:r w:rsidRPr="001D2F6E">
        <w:rPr>
          <w:rFonts w:cstheme="minorHAnsi"/>
        </w:rPr>
        <w:t>Section 425.16</w:t>
      </w:r>
      <w:r w:rsidR="00BD75C0">
        <w:rPr>
          <w:rFonts w:cstheme="minorHAnsi"/>
        </w:rPr>
        <w:t>.</w:t>
      </w:r>
    </w:p>
  </w:footnote>
  <w:footnote w:id="50">
    <w:p w14:paraId="14ABD0E5" w14:textId="77777777" w:rsidR="00362870" w:rsidRPr="00695A71" w:rsidRDefault="00362870" w:rsidP="00DF42EF">
      <w:pPr>
        <w:pStyle w:val="FootnoteText"/>
        <w:jc w:val="both"/>
        <w:rPr>
          <w:lang w:val="en-GB"/>
        </w:rPr>
      </w:pPr>
      <w:r>
        <w:rPr>
          <w:rStyle w:val="FootnoteReference"/>
        </w:rPr>
        <w:footnoteRef/>
      </w:r>
      <w:r>
        <w:t xml:space="preserve"> </w:t>
      </w:r>
      <w:r>
        <w:rPr>
          <w:lang w:val="en-GB"/>
        </w:rPr>
        <w:t xml:space="preserve">See Gilman v. McDonald, 74 </w:t>
      </w:r>
      <w:r>
        <w:rPr>
          <w:lang w:val="en-GB"/>
        </w:rPr>
        <w:t>Wn. App. 733, 875 P. 2d 697, review denied, 125 Wn. 2d 1010, 889 P. 2d 498 (1994); Right-Price Recreation, LLC v. Connells Prairie Cmty. Council, 146 Wn. 2d 370, 46 P. 3d 789 (2002)</w:t>
      </w:r>
    </w:p>
  </w:footnote>
  <w:footnote w:id="51">
    <w:p w14:paraId="1E7996FE" w14:textId="77777777" w:rsidR="006B2B06" w:rsidRPr="006B2B06" w:rsidRDefault="006B2B06" w:rsidP="00DF42EF">
      <w:pPr>
        <w:pStyle w:val="FootnoteText"/>
        <w:jc w:val="both"/>
        <w:rPr>
          <w:lang w:val="en-GB"/>
        </w:rPr>
      </w:pPr>
      <w:r>
        <w:rPr>
          <w:rStyle w:val="FootnoteReference"/>
        </w:rPr>
        <w:footnoteRef/>
      </w:r>
      <w:r>
        <w:t xml:space="preserve"> </w:t>
      </w:r>
      <w:r>
        <w:rPr>
          <w:lang w:val="en-GB"/>
        </w:rPr>
        <w:t>Sections 70-</w:t>
      </w:r>
      <w:r>
        <w:rPr>
          <w:lang w:val="en-GB"/>
        </w:rPr>
        <w:t>a and 76a of the New York Civil Rights Law.</w:t>
      </w:r>
    </w:p>
  </w:footnote>
  <w:footnote w:id="52">
    <w:p w14:paraId="39A251C9" w14:textId="77777777" w:rsidR="00362870" w:rsidRPr="00490106" w:rsidRDefault="00362870" w:rsidP="00DF42EF">
      <w:pPr>
        <w:pStyle w:val="FootnoteText"/>
        <w:jc w:val="both"/>
        <w:rPr>
          <w:lang w:val="en-GB"/>
        </w:rPr>
      </w:pPr>
      <w:r>
        <w:rPr>
          <w:rStyle w:val="FootnoteReference"/>
        </w:rPr>
        <w:footnoteRef/>
      </w:r>
      <w:r>
        <w:t xml:space="preserve"> </w:t>
      </w:r>
      <w:r>
        <w:t>Handyside v UK, Case No. 5493/72 at para 49</w:t>
      </w:r>
      <w:r w:rsidR="00BD75C0">
        <w:t>.</w:t>
      </w:r>
    </w:p>
  </w:footnote>
  <w:footnote w:id="53">
    <w:p w14:paraId="232858C0" w14:textId="77777777" w:rsidR="007E1231" w:rsidRPr="000E5201" w:rsidRDefault="00362870" w:rsidP="0039130B">
      <w:pPr>
        <w:pStyle w:val="FootnoteText"/>
        <w:jc w:val="both"/>
        <w:rPr>
          <w:lang w:val="en-GB"/>
        </w:rPr>
      </w:pPr>
      <w:r w:rsidRPr="000E5201">
        <w:rPr>
          <w:rStyle w:val="FootnoteReference"/>
        </w:rPr>
        <w:footnoteRef/>
      </w:r>
      <w:r w:rsidRPr="000E5201">
        <w:t xml:space="preserve"> </w:t>
      </w:r>
      <w:r w:rsidR="007E1231" w:rsidRPr="000E5201">
        <w:t xml:space="preserve">See: </w:t>
      </w:r>
      <w:r w:rsidRPr="000E5201">
        <w:rPr>
          <w:lang w:val="en-GB"/>
        </w:rPr>
        <w:t>M</w:t>
      </w:r>
      <w:r w:rsidR="00E93209" w:rsidRPr="000E5201">
        <w:rPr>
          <w:lang w:val="en-GB"/>
        </w:rPr>
        <w:t>cDonald’s Corp. v Steel and Morris 1997</w:t>
      </w:r>
      <w:r w:rsidRPr="000E5201">
        <w:rPr>
          <w:lang w:val="en-GB"/>
        </w:rPr>
        <w:t xml:space="preserve"> </w:t>
      </w:r>
      <w:r w:rsidR="00E93209" w:rsidRPr="000E5201">
        <w:rPr>
          <w:lang w:val="en-GB"/>
        </w:rPr>
        <w:t>[</w:t>
      </w:r>
      <w:r w:rsidRPr="000E5201">
        <w:rPr>
          <w:lang w:val="en-GB"/>
        </w:rPr>
        <w:t>EWHC</w:t>
      </w:r>
      <w:r w:rsidR="00E93209" w:rsidRPr="000E5201">
        <w:rPr>
          <w:lang w:val="en-GB"/>
        </w:rPr>
        <w:t>]</w:t>
      </w:r>
      <w:r w:rsidRPr="000E5201">
        <w:rPr>
          <w:lang w:val="en-GB"/>
        </w:rPr>
        <w:t xml:space="preserve"> </w:t>
      </w:r>
      <w:r w:rsidR="00E93209" w:rsidRPr="000E5201">
        <w:rPr>
          <w:lang w:val="en-GB"/>
        </w:rPr>
        <w:t>QB 366</w:t>
      </w:r>
      <w:r w:rsidR="007E1231" w:rsidRPr="000E5201">
        <w:rPr>
          <w:lang w:val="en-GB"/>
        </w:rPr>
        <w:t>;</w:t>
      </w:r>
      <w:r w:rsidR="007E1231" w:rsidRPr="000E5201">
        <w:t xml:space="preserve"> Steel and Morris v United Kingdom </w:t>
      </w:r>
      <w:r w:rsidR="007E1231" w:rsidRPr="000E5201">
        <w:t xml:space="preserve">ECHR  2005. Also known as the </w:t>
      </w:r>
      <w:r w:rsidR="007E1231" w:rsidRPr="000E5201">
        <w:t>McLibel case. Two activists distributed leaflets on “What’s wrong with McDonalds?” accusing the company of McCancer, McDisease and McGreed. The allegations related to the negative health consequences of food, bad working conditions, exploitation of children and deforestation. The original case lasted nearly years, which made it the longest running libel case in English history.</w:t>
      </w:r>
      <w:r w:rsidR="00F0001B" w:rsidRPr="000E5201">
        <w:t xml:space="preserve"> The McLibel case is widely regarded as a SLAPP because McDonald’s aim was seen as one of silencing its critics with a heavy-handed claim for damages that they could never have expected to recover from the defendants.</w:t>
      </w:r>
    </w:p>
  </w:footnote>
  <w:footnote w:id="54">
    <w:p w14:paraId="5DE17139" w14:textId="77777777" w:rsidR="006127DC" w:rsidRPr="000E5201" w:rsidRDefault="006127DC" w:rsidP="0039130B">
      <w:pPr>
        <w:pStyle w:val="FootnoteText"/>
        <w:jc w:val="both"/>
        <w:rPr>
          <w:lang w:val="en-GB"/>
        </w:rPr>
      </w:pPr>
      <w:r w:rsidRPr="000E5201">
        <w:rPr>
          <w:rStyle w:val="FootnoteReference"/>
        </w:rPr>
        <w:footnoteRef/>
      </w:r>
      <w:r w:rsidRPr="000E5201">
        <w:t xml:space="preserve"> </w:t>
      </w:r>
      <w:r w:rsidR="005B079A" w:rsidRPr="000E5201">
        <w:t xml:space="preserve">See: EU Citizen, </w:t>
      </w:r>
      <w:r w:rsidRPr="000E5201">
        <w:rPr>
          <w:lang w:val="en-GB"/>
        </w:rPr>
        <w:t>SLAPP in EU context, 29 May 2020,</w:t>
      </w:r>
      <w:r w:rsidR="005B079A" w:rsidRPr="000E5201">
        <w:rPr>
          <w:lang w:val="en-GB"/>
        </w:rPr>
        <w:t xml:space="preserve"> </w:t>
      </w:r>
      <w:r w:rsidR="003524A7" w:rsidRPr="000E5201">
        <w:rPr>
          <w:lang w:val="en-GB"/>
        </w:rPr>
        <w:t xml:space="preserve">Petra </w:t>
      </w:r>
      <w:r w:rsidR="003524A7" w:rsidRPr="000E5201">
        <w:rPr>
          <w:lang w:val="en-GB"/>
        </w:rPr>
        <w:t>Bā</w:t>
      </w:r>
      <w:r w:rsidR="0093642D" w:rsidRPr="000E5201">
        <w:rPr>
          <w:lang w:val="en-GB"/>
        </w:rPr>
        <w:t xml:space="preserve">rd, Judit Bayer, Ngo Chun Luk and Lina Vosyliute </w:t>
      </w:r>
      <w:r w:rsidR="005B079A" w:rsidRPr="000E5201">
        <w:rPr>
          <w:lang w:val="en-GB"/>
        </w:rPr>
        <w:t>for an overview</w:t>
      </w:r>
      <w:r w:rsidRPr="000E5201">
        <w:rPr>
          <w:lang w:val="en-GB"/>
        </w:rPr>
        <w:t xml:space="preserve"> of SLAPP</w:t>
      </w:r>
      <w:r w:rsidR="005B079A" w:rsidRPr="000E5201">
        <w:rPr>
          <w:lang w:val="en-GB"/>
        </w:rPr>
        <w:t xml:space="preserve"> and its challenges in the EU.</w:t>
      </w:r>
    </w:p>
  </w:footnote>
  <w:footnote w:id="55">
    <w:p w14:paraId="2CC18FBE" w14:textId="77777777" w:rsidR="00362870" w:rsidRPr="000E5201" w:rsidRDefault="00362870" w:rsidP="0039130B">
      <w:pPr>
        <w:pStyle w:val="FootnoteText"/>
        <w:jc w:val="both"/>
        <w:rPr>
          <w:rFonts w:cstheme="minorHAnsi"/>
          <w:lang w:val="en-GB"/>
        </w:rPr>
      </w:pPr>
      <w:r w:rsidRPr="000E5201">
        <w:rPr>
          <w:rStyle w:val="FootnoteReference"/>
          <w:rFonts w:cstheme="minorHAnsi"/>
        </w:rPr>
        <w:footnoteRef/>
      </w:r>
      <w:r w:rsidRPr="000E5201">
        <w:rPr>
          <w:rFonts w:cstheme="minorHAnsi"/>
        </w:rPr>
        <w:t xml:space="preserve"> 2020 SCC 22; </w:t>
      </w:r>
      <w:r w:rsidRPr="000E5201">
        <w:rPr>
          <w:rStyle w:val="Emphasis"/>
          <w:rFonts w:cstheme="minorHAnsi"/>
          <w:bdr w:val="none" w:sz="0" w:space="0" w:color="auto" w:frame="1"/>
          <w:shd w:val="clear" w:color="auto" w:fill="FFFFFF"/>
        </w:rPr>
        <w:t xml:space="preserve">Bent v </w:t>
      </w:r>
      <w:r w:rsidRPr="000E5201">
        <w:rPr>
          <w:rStyle w:val="Emphasis"/>
          <w:rFonts w:cstheme="minorHAnsi"/>
          <w:bdr w:val="none" w:sz="0" w:space="0" w:color="auto" w:frame="1"/>
          <w:shd w:val="clear" w:color="auto" w:fill="FFFFFF"/>
        </w:rPr>
        <w:t>Platnick</w:t>
      </w:r>
      <w:r w:rsidRPr="000E5201">
        <w:rPr>
          <w:rFonts w:cstheme="minorHAnsi"/>
          <w:shd w:val="clear" w:color="auto" w:fill="FFFFFF"/>
        </w:rPr>
        <w:t>, </w:t>
      </w:r>
      <w:hyperlink r:id="rId1" w:history="1">
        <w:r w:rsidRPr="000E5201">
          <w:rPr>
            <w:rStyle w:val="Hyperlink"/>
            <w:rFonts w:cstheme="minorHAnsi"/>
            <w:color w:val="auto"/>
            <w:u w:val="none"/>
            <w:bdr w:val="none" w:sz="0" w:space="0" w:color="auto" w:frame="1"/>
            <w:shd w:val="clear" w:color="auto" w:fill="FFFFFF"/>
          </w:rPr>
          <w:t>2020 SCC 23</w:t>
        </w:r>
      </w:hyperlink>
      <w:r w:rsidRPr="000E5201">
        <w:rPr>
          <w:rFonts w:cstheme="minorHAnsi"/>
          <w:shd w:val="clear" w:color="auto" w:fill="FFFFFF"/>
        </w:rPr>
        <w:t> [</w:t>
      </w:r>
      <w:r w:rsidRPr="000E5201">
        <w:rPr>
          <w:rStyle w:val="Emphasis"/>
          <w:rFonts w:cstheme="minorHAnsi"/>
          <w:bdr w:val="none" w:sz="0" w:space="0" w:color="auto" w:frame="1"/>
          <w:shd w:val="clear" w:color="auto" w:fill="FFFFFF"/>
        </w:rPr>
        <w:t>Bent</w:t>
      </w:r>
      <w:r w:rsidRPr="000E5201">
        <w:rPr>
          <w:rFonts w:cstheme="minorHAnsi"/>
          <w:shd w:val="clear" w:color="auto" w:fill="FFFFFF"/>
        </w:rPr>
        <w:t>]. In </w:t>
      </w:r>
      <w:r w:rsidRPr="000E5201">
        <w:rPr>
          <w:rStyle w:val="Emphasis"/>
          <w:rFonts w:cstheme="minorHAnsi"/>
          <w:bdr w:val="none" w:sz="0" w:space="0" w:color="auto" w:frame="1"/>
          <w:shd w:val="clear" w:color="auto" w:fill="FFFFFF"/>
        </w:rPr>
        <w:t>Pointes</w:t>
      </w:r>
      <w:r w:rsidRPr="000E5201">
        <w:rPr>
          <w:rFonts w:cstheme="minorHAnsi"/>
          <w:shd w:val="clear" w:color="auto" w:fill="FFFFFF"/>
        </w:rPr>
        <w:t> and </w:t>
      </w:r>
      <w:r w:rsidRPr="000E5201">
        <w:rPr>
          <w:rStyle w:val="Emphasis"/>
          <w:rFonts w:cstheme="minorHAnsi"/>
          <w:bdr w:val="none" w:sz="0" w:space="0" w:color="auto" w:frame="1"/>
          <w:shd w:val="clear" w:color="auto" w:fill="FFFFFF"/>
        </w:rPr>
        <w:t>Bent</w:t>
      </w:r>
      <w:r w:rsidRPr="000E5201">
        <w:rPr>
          <w:rFonts w:cstheme="minorHAnsi"/>
          <w:shd w:val="clear" w:color="auto" w:fill="FFFFFF"/>
        </w:rPr>
        <w:t>, the Court was tasked with interpreting s. 137.1 of the Ontario </w:t>
      </w:r>
      <w:r w:rsidRPr="000E5201">
        <w:rPr>
          <w:rStyle w:val="Emphasis"/>
          <w:rFonts w:cstheme="minorHAnsi"/>
          <w:bdr w:val="none" w:sz="0" w:space="0" w:color="auto" w:frame="1"/>
          <w:shd w:val="clear" w:color="auto" w:fill="FFFFFF"/>
        </w:rPr>
        <w:t>Courts of Justice Act</w:t>
      </w:r>
      <w:r w:rsidRPr="000E5201">
        <w:rPr>
          <w:rFonts w:cstheme="minorHAnsi"/>
          <w:shd w:val="clear" w:color="auto" w:fill="FFFFFF"/>
        </w:rPr>
        <w:t>, </w:t>
      </w:r>
      <w:hyperlink r:id="rId2" w:anchor="BK185" w:history="1">
        <w:r w:rsidRPr="000E5201">
          <w:rPr>
            <w:rStyle w:val="Hyperlink"/>
            <w:rFonts w:cstheme="minorHAnsi"/>
            <w:color w:val="auto"/>
            <w:u w:val="none"/>
            <w:bdr w:val="none" w:sz="0" w:space="0" w:color="auto" w:frame="1"/>
            <w:shd w:val="clear" w:color="auto" w:fill="FFFFFF"/>
          </w:rPr>
          <w:t>RSO 1990, c C.43</w:t>
        </w:r>
      </w:hyperlink>
      <w:r w:rsidRPr="000E5201">
        <w:rPr>
          <w:rFonts w:cstheme="minorHAnsi"/>
          <w:shd w:val="clear" w:color="auto" w:fill="FFFFFF"/>
        </w:rPr>
        <w:t> [</w:t>
      </w:r>
      <w:r w:rsidRPr="000E5201">
        <w:rPr>
          <w:rStyle w:val="Emphasis"/>
          <w:rFonts w:cstheme="minorHAnsi"/>
          <w:bdr w:val="none" w:sz="0" w:space="0" w:color="auto" w:frame="1"/>
          <w:shd w:val="clear" w:color="auto" w:fill="FFFFFF"/>
        </w:rPr>
        <w:t>CJA</w:t>
      </w:r>
      <w:r w:rsidRPr="000E5201">
        <w:rPr>
          <w:rFonts w:cstheme="minorHAnsi"/>
          <w:shd w:val="clear" w:color="auto" w:fill="FFFFFF"/>
        </w:rPr>
        <w:t>], a key provision of the province’s “anti-SLAPP” (Strategic Lawsuits Against Public Participation) laws. Section 137.1 allows a defendant to bring a motion to dismiss the action on the grounds that it intends to silence or gag the defendant from speaking about or participating in matters of public interest. As a recent addition to the </w:t>
      </w:r>
      <w:r w:rsidRPr="000E5201">
        <w:rPr>
          <w:rStyle w:val="Emphasis"/>
          <w:rFonts w:cstheme="minorHAnsi"/>
          <w:bdr w:val="none" w:sz="0" w:space="0" w:color="auto" w:frame="1"/>
          <w:shd w:val="clear" w:color="auto" w:fill="FFFFFF"/>
        </w:rPr>
        <w:t>CJA </w:t>
      </w:r>
      <w:r w:rsidRPr="000E5201">
        <w:rPr>
          <w:rFonts w:cstheme="minorHAnsi"/>
          <w:shd w:val="clear" w:color="auto" w:fill="FFFFFF"/>
        </w:rPr>
        <w:t>through the enactment of the </w:t>
      </w:r>
      <w:r w:rsidRPr="000E5201">
        <w:rPr>
          <w:rStyle w:val="Emphasis"/>
          <w:rFonts w:cstheme="minorHAnsi"/>
          <w:bdr w:val="none" w:sz="0" w:space="0" w:color="auto" w:frame="1"/>
          <w:shd w:val="clear" w:color="auto" w:fill="FFFFFF"/>
        </w:rPr>
        <w:t>Protection of Public</w:t>
      </w:r>
      <w:r w:rsidRPr="000E5201">
        <w:rPr>
          <w:rFonts w:cstheme="minorHAnsi"/>
        </w:rPr>
        <w:t xml:space="preserve"> </w:t>
      </w:r>
      <w:r w:rsidRPr="000E5201">
        <w:rPr>
          <w:rStyle w:val="Emphasis"/>
          <w:rFonts w:cstheme="minorHAnsi"/>
          <w:bdr w:val="none" w:sz="0" w:space="0" w:color="auto" w:frame="1"/>
          <w:shd w:val="clear" w:color="auto" w:fill="FFFFFF"/>
        </w:rPr>
        <w:t>Participation Act, 2015</w:t>
      </w:r>
      <w:r w:rsidRPr="000E5201">
        <w:rPr>
          <w:rFonts w:cstheme="minorHAnsi"/>
          <w:shd w:val="clear" w:color="auto" w:fill="FFFFFF"/>
        </w:rPr>
        <w:t>, </w:t>
      </w:r>
      <w:hyperlink r:id="rId3" w:history="1">
        <w:r w:rsidRPr="000E5201">
          <w:rPr>
            <w:rStyle w:val="Hyperlink"/>
            <w:rFonts w:cstheme="minorHAnsi"/>
            <w:color w:val="auto"/>
            <w:u w:val="none"/>
            <w:bdr w:val="none" w:sz="0" w:space="0" w:color="auto" w:frame="1"/>
            <w:shd w:val="clear" w:color="auto" w:fill="FFFFFF"/>
          </w:rPr>
          <w:t>SO 2015 c 23</w:t>
        </w:r>
      </w:hyperlink>
      <w:r w:rsidRPr="000E5201">
        <w:rPr>
          <w:rFonts w:cstheme="minorHAnsi"/>
          <w:shd w:val="clear" w:color="auto" w:fill="FFFFFF"/>
        </w:rPr>
        <w:t>, and with counterparts only in BC and Quebec, the Court’s analysis in </w:t>
      </w:r>
      <w:r w:rsidRPr="000E5201">
        <w:rPr>
          <w:rStyle w:val="Emphasis"/>
          <w:rFonts w:cstheme="minorHAnsi"/>
          <w:bdr w:val="none" w:sz="0" w:space="0" w:color="auto" w:frame="1"/>
          <w:shd w:val="clear" w:color="auto" w:fill="FFFFFF"/>
        </w:rPr>
        <w:t>Pointes </w:t>
      </w:r>
      <w:r w:rsidRPr="000E5201">
        <w:rPr>
          <w:rFonts w:cstheme="minorHAnsi"/>
          <w:shd w:val="clear" w:color="auto" w:fill="FFFFFF"/>
        </w:rPr>
        <w:t>will serve as the guiding precedent for all future s. 137.1 proceedings as it was the Court’s first time engaging with any Canadian anti-SLAPP laws.</w:t>
      </w:r>
    </w:p>
  </w:footnote>
  <w:footnote w:id="56">
    <w:p w14:paraId="18B4456A" w14:textId="77777777" w:rsidR="00362870" w:rsidRPr="0069164C" w:rsidRDefault="00362870" w:rsidP="0039130B">
      <w:pPr>
        <w:pStyle w:val="FootnoteText"/>
        <w:jc w:val="both"/>
        <w:rPr>
          <w:rFonts w:cstheme="minorHAnsi"/>
          <w:lang w:val="en-GB"/>
        </w:rPr>
      </w:pPr>
      <w:r w:rsidRPr="0069164C">
        <w:rPr>
          <w:rStyle w:val="FootnoteReference"/>
          <w:rFonts w:cstheme="minorHAnsi"/>
        </w:rPr>
        <w:footnoteRef/>
      </w:r>
      <w:r w:rsidRPr="0069164C">
        <w:rPr>
          <w:rFonts w:cstheme="minorHAnsi"/>
        </w:rPr>
        <w:t xml:space="preserve"> </w:t>
      </w:r>
      <w:r w:rsidRPr="0069164C">
        <w:rPr>
          <w:rFonts w:cstheme="minorHAnsi"/>
          <w:lang w:val="en-GB"/>
        </w:rPr>
        <w:t>Pointes at para</w:t>
      </w:r>
      <w:r w:rsidR="006127DC" w:rsidRPr="0069164C">
        <w:rPr>
          <w:rFonts w:cstheme="minorHAnsi"/>
          <w:lang w:val="en-GB"/>
        </w:rPr>
        <w:t xml:space="preserve"> 1</w:t>
      </w:r>
      <w:r w:rsidR="00AA28D4">
        <w:rPr>
          <w:rFonts w:cstheme="minorHAnsi"/>
          <w:lang w:val="en-GB"/>
        </w:rPr>
        <w:t>.</w:t>
      </w:r>
    </w:p>
  </w:footnote>
  <w:footnote w:id="57">
    <w:p w14:paraId="56D7C1BB" w14:textId="77777777" w:rsidR="00362870" w:rsidRPr="008E70E8" w:rsidRDefault="00362870" w:rsidP="0039130B">
      <w:pPr>
        <w:pStyle w:val="FootnoteText"/>
        <w:jc w:val="both"/>
        <w:rPr>
          <w:rFonts w:cstheme="minorHAnsi"/>
          <w:lang w:val="en-GB"/>
        </w:rPr>
      </w:pPr>
      <w:r w:rsidRPr="0069164C">
        <w:rPr>
          <w:rStyle w:val="FootnoteReference"/>
          <w:rFonts w:cstheme="minorHAnsi"/>
        </w:rPr>
        <w:footnoteRef/>
      </w:r>
      <w:r w:rsidRPr="0069164C">
        <w:rPr>
          <w:rFonts w:cstheme="minorHAnsi"/>
        </w:rPr>
        <w:t xml:space="preserve"> [</w:t>
      </w:r>
      <w:r w:rsidRPr="0069164C">
        <w:rPr>
          <w:rFonts w:cstheme="minorHAnsi"/>
          <w:lang w:val="en-GB"/>
        </w:rPr>
        <w:t xml:space="preserve">2009] 3 S.C.R. 640, 2009 SCC 61 at para </w:t>
      </w:r>
      <w:r w:rsidR="006127DC" w:rsidRPr="0069164C">
        <w:rPr>
          <w:rFonts w:cstheme="minorHAnsi"/>
          <w:lang w:val="en-GB"/>
        </w:rPr>
        <w:t>28</w:t>
      </w:r>
      <w:r w:rsidR="00AA28D4">
        <w:rPr>
          <w:rFonts w:cstheme="minorHAnsi"/>
          <w:lang w:val="en-GB"/>
        </w:rPr>
        <w:t>.</w:t>
      </w:r>
    </w:p>
  </w:footnote>
  <w:footnote w:id="58">
    <w:p w14:paraId="2E30150D" w14:textId="77777777" w:rsidR="00362870" w:rsidRPr="00BD4420" w:rsidRDefault="00362870" w:rsidP="0039130B">
      <w:pPr>
        <w:pStyle w:val="FootnoteText"/>
        <w:jc w:val="both"/>
        <w:rPr>
          <w:lang w:val="en-GB"/>
        </w:rPr>
      </w:pPr>
      <w:r w:rsidRPr="008E70E8">
        <w:rPr>
          <w:rStyle w:val="FootnoteReference"/>
          <w:rFonts w:cstheme="minorHAnsi"/>
        </w:rPr>
        <w:footnoteRef/>
      </w:r>
      <w:r w:rsidRPr="008E70E8">
        <w:rPr>
          <w:rFonts w:cstheme="minorHAnsi"/>
        </w:rPr>
        <w:t xml:space="preserve"> </w:t>
      </w:r>
      <w:r>
        <w:rPr>
          <w:rFonts w:cstheme="minorHAnsi"/>
        </w:rPr>
        <w:t xml:space="preserve">Section 137.1 (3) and (4) of </w:t>
      </w:r>
      <w:r w:rsidRPr="008E70E8">
        <w:rPr>
          <w:rFonts w:cstheme="minorHAnsi"/>
        </w:rPr>
        <w:t>the Protection of Public Participation Act, 2015 establishes a two pronged test</w:t>
      </w:r>
      <w:r>
        <w:rPr>
          <w:rFonts w:cstheme="minorHAnsi"/>
        </w:rPr>
        <w:t xml:space="preserve"> in the determination of a SLAPP suit.</w:t>
      </w:r>
    </w:p>
  </w:footnote>
  <w:footnote w:id="59">
    <w:p w14:paraId="05A45FB4" w14:textId="77777777" w:rsidR="00362870" w:rsidRPr="00BD4420" w:rsidRDefault="00362870" w:rsidP="0039130B">
      <w:pPr>
        <w:pStyle w:val="FootnoteText"/>
        <w:jc w:val="both"/>
        <w:rPr>
          <w:lang w:val="en-GB"/>
        </w:rPr>
      </w:pPr>
      <w:r>
        <w:rPr>
          <w:rStyle w:val="FootnoteReference"/>
        </w:rPr>
        <w:footnoteRef/>
      </w:r>
      <w:r>
        <w:t xml:space="preserve"> Pointes at para</w:t>
      </w:r>
      <w:r w:rsidR="006127DC">
        <w:t xml:space="preserve"> 17</w:t>
      </w:r>
      <w:r w:rsidR="00AA28D4">
        <w:t>.</w:t>
      </w:r>
    </w:p>
  </w:footnote>
  <w:footnote w:id="60">
    <w:p w14:paraId="0DF836EA" w14:textId="77777777" w:rsidR="00362870" w:rsidRDefault="00362870" w:rsidP="0039130B">
      <w:pPr>
        <w:pStyle w:val="FootnoteText"/>
        <w:jc w:val="both"/>
      </w:pPr>
      <w:r>
        <w:rPr>
          <w:rStyle w:val="FootnoteReference"/>
        </w:rPr>
        <w:footnoteRef/>
      </w:r>
      <w:r>
        <w:t xml:space="preserve"> </w:t>
      </w:r>
      <w:r>
        <w:t>Pring &amp; Canan, 89; Pring &amp; Canan’s study found that 53 percent of all SLAPP cases filed in the United States were based on defamation.</w:t>
      </w:r>
      <w:r w:rsidR="00CE65E9">
        <w:t xml:space="preserve"> Also see:</w:t>
      </w:r>
      <w:r>
        <w:t xml:space="preserve"> Murombo &amp; Valentine, SLAPP Suits: An Emerging Obstacle to Public Interest Environmental Litigation in South Africa 2011 27 SAJHR 82 at 84</w:t>
      </w:r>
      <w:r w:rsidR="00CE65E9">
        <w:t>.</w:t>
      </w:r>
    </w:p>
    <w:p w14:paraId="065F5D2B" w14:textId="77777777" w:rsidR="00362870" w:rsidRPr="0004615B" w:rsidRDefault="00362870">
      <w:pPr>
        <w:pStyle w:val="FootnoteText"/>
      </w:pPr>
    </w:p>
  </w:footnote>
  <w:footnote w:id="61">
    <w:p w14:paraId="1385E9E7" w14:textId="77777777" w:rsidR="006C5FCC" w:rsidRPr="006C5FCC" w:rsidRDefault="006C5FCC" w:rsidP="00DF42EF">
      <w:pPr>
        <w:pStyle w:val="FootnoteText"/>
        <w:jc w:val="both"/>
        <w:rPr>
          <w:lang w:val="en-GB"/>
        </w:rPr>
      </w:pPr>
      <w:r>
        <w:rPr>
          <w:rStyle w:val="FootnoteReference"/>
        </w:rPr>
        <w:footnoteRef/>
      </w:r>
      <w:r>
        <w:t xml:space="preserve"> </w:t>
      </w:r>
      <w:r w:rsidR="00A06BFD">
        <w:t xml:space="preserve">B </w:t>
      </w:r>
      <w:r w:rsidR="00B4530A">
        <w:t xml:space="preserve">Sheldrick, </w:t>
      </w:r>
      <w:r>
        <w:rPr>
          <w:lang w:val="en-GB"/>
        </w:rPr>
        <w:t>Blocking Public Participation</w:t>
      </w:r>
      <w:r w:rsidR="00B4530A">
        <w:rPr>
          <w:lang w:val="en-GB"/>
        </w:rPr>
        <w:t xml:space="preserve">: </w:t>
      </w:r>
      <w:r>
        <w:rPr>
          <w:lang w:val="en-GB"/>
        </w:rPr>
        <w:t>The Use of Strategic Litigation to Silence Political Expression Wilfrid Laurier University Press</w:t>
      </w:r>
      <w:r w:rsidR="00A06BFD">
        <w:rPr>
          <w:lang w:val="en-GB"/>
        </w:rPr>
        <w:t xml:space="preserve"> (2014)</w:t>
      </w:r>
      <w:r>
        <w:rPr>
          <w:lang w:val="en-GB"/>
        </w:rPr>
        <w:t xml:space="preserve"> at p15.</w:t>
      </w:r>
    </w:p>
  </w:footnote>
  <w:footnote w:id="62">
    <w:p w14:paraId="136B0E00" w14:textId="77777777" w:rsidR="00362870" w:rsidRPr="00F47416" w:rsidRDefault="00362870" w:rsidP="00DF42EF">
      <w:pPr>
        <w:pStyle w:val="FootnoteText"/>
        <w:jc w:val="both"/>
        <w:rPr>
          <w:lang w:val="en-GB"/>
        </w:rPr>
      </w:pPr>
      <w:r>
        <w:rPr>
          <w:rStyle w:val="FootnoteReference"/>
        </w:rPr>
        <w:footnoteRef/>
      </w:r>
      <w:r>
        <w:t xml:space="preserve"> </w:t>
      </w:r>
      <w:r>
        <w:rPr>
          <w:lang w:val="en-GB"/>
        </w:rPr>
        <w:t>Jameel (Mohamed) v Wall Street Journal</w:t>
      </w:r>
      <w:r w:rsidR="00C76CC1">
        <w:rPr>
          <w:lang w:val="en-GB"/>
        </w:rPr>
        <w:t xml:space="preserve"> Europe</w:t>
      </w:r>
      <w:r>
        <w:rPr>
          <w:lang w:val="en-GB"/>
        </w:rPr>
        <w:t xml:space="preserve"> Sprl [2007] 1 AC 359 (HL) at para 158</w:t>
      </w:r>
      <w:r w:rsidR="00AA28D4">
        <w:rPr>
          <w:lang w:val="en-GB"/>
        </w:rPr>
        <w:t>.</w:t>
      </w:r>
    </w:p>
  </w:footnote>
  <w:footnote w:id="63">
    <w:p w14:paraId="0D04C9A1" w14:textId="77777777" w:rsidR="00362870" w:rsidRDefault="00362870" w:rsidP="00DF42EF">
      <w:pPr>
        <w:pStyle w:val="FootnoteText"/>
        <w:jc w:val="both"/>
      </w:pPr>
      <w:r>
        <w:rPr>
          <w:rStyle w:val="FootnoteReference"/>
        </w:rPr>
        <w:footnoteRef/>
      </w:r>
      <w:r>
        <w:t xml:space="preserve"> </w:t>
      </w:r>
      <w:r>
        <w:t>Murombo &amp; Valentine, SLAPP Suits: An Emerging Obstacle to Public Interest Environmental Litigation in South Africa 2011 27 SAJHR 82 at 84</w:t>
      </w:r>
      <w:r w:rsidR="00AA28D4">
        <w:t>.</w:t>
      </w:r>
    </w:p>
    <w:p w14:paraId="0BB7DEBD" w14:textId="77777777" w:rsidR="00362870" w:rsidRPr="008C6F49" w:rsidRDefault="00362870">
      <w:pPr>
        <w:pStyle w:val="FootnoteText"/>
        <w:rPr>
          <w:lang w:val="en-GB"/>
        </w:rPr>
      </w:pPr>
    </w:p>
  </w:footnote>
  <w:footnote w:id="64">
    <w:p w14:paraId="27E8A372" w14:textId="77777777" w:rsidR="00362870" w:rsidRDefault="00362870" w:rsidP="0039130B">
      <w:pPr>
        <w:pStyle w:val="FootnoteText"/>
        <w:jc w:val="both"/>
        <w:rPr>
          <w:lang w:val="en-GB"/>
        </w:rPr>
      </w:pPr>
      <w:r>
        <w:rPr>
          <w:rStyle w:val="FootnoteReference"/>
        </w:rPr>
        <w:footnoteRef/>
      </w:r>
      <w:r>
        <w:t xml:space="preserve"> </w:t>
      </w:r>
      <w:r>
        <w:rPr>
          <w:lang w:val="en-GB"/>
        </w:rPr>
        <w:t>Biowatch Trust v Registrar, Genetic Resources [2009] ZACC; 2009 (10) BCLR 1014 (CC)</w:t>
      </w:r>
      <w:r w:rsidR="00AA28D4">
        <w:rPr>
          <w:lang w:val="en-GB"/>
        </w:rPr>
        <w:t>.</w:t>
      </w:r>
      <w:r>
        <w:rPr>
          <w:lang w:val="en-GB"/>
        </w:rPr>
        <w:t xml:space="preserve">     </w:t>
      </w:r>
    </w:p>
    <w:p w14:paraId="22D31B64" w14:textId="77777777" w:rsidR="00362870" w:rsidRPr="006D7889" w:rsidRDefault="00362870">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248596"/>
      <w:docPartObj>
        <w:docPartGallery w:val="Page Numbers (Top of Page)"/>
        <w:docPartUnique/>
      </w:docPartObj>
    </w:sdtPr>
    <w:sdtEndPr>
      <w:rPr>
        <w:noProof/>
      </w:rPr>
    </w:sdtEndPr>
    <w:sdtContent>
      <w:p w14:paraId="016C1E50" w14:textId="77777777" w:rsidR="00362870" w:rsidRDefault="00362870">
        <w:pPr>
          <w:pStyle w:val="Header"/>
          <w:jc w:val="center"/>
        </w:pPr>
        <w:r>
          <w:fldChar w:fldCharType="begin"/>
        </w:r>
        <w:r>
          <w:instrText xml:space="preserve"> PAGE   \* MERGEFORMAT </w:instrText>
        </w:r>
        <w:r>
          <w:fldChar w:fldCharType="separate"/>
        </w:r>
        <w:r w:rsidR="0055327D">
          <w:rPr>
            <w:noProof/>
          </w:rPr>
          <w:t>21</w:t>
        </w:r>
        <w:r>
          <w:rPr>
            <w:noProof/>
          </w:rPr>
          <w:fldChar w:fldCharType="end"/>
        </w:r>
      </w:p>
    </w:sdtContent>
  </w:sdt>
  <w:p w14:paraId="2BD399C3" w14:textId="77777777" w:rsidR="00362870" w:rsidRDefault="00362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1F83"/>
    <w:multiLevelType w:val="hybridMultilevel"/>
    <w:tmpl w:val="99DC04DC"/>
    <w:lvl w:ilvl="0" w:tplc="9084B6F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FCF3B4D"/>
    <w:multiLevelType w:val="hybridMultilevel"/>
    <w:tmpl w:val="ADEA60D0"/>
    <w:lvl w:ilvl="0" w:tplc="11C61FE6">
      <w:start w:val="1"/>
      <w:numFmt w:val="decimal"/>
      <w:lvlText w:val="[%1]"/>
      <w:lvlJc w:val="left"/>
      <w:pPr>
        <w:ind w:left="360" w:hanging="360"/>
      </w:pPr>
      <w:rPr>
        <w:rFonts w:ascii="Arial" w:hAnsi="Arial" w:cs="Aria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0E43B28"/>
    <w:multiLevelType w:val="hybridMultilevel"/>
    <w:tmpl w:val="5B0060A4"/>
    <w:lvl w:ilvl="0" w:tplc="F13E98A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515A91"/>
    <w:multiLevelType w:val="hybridMultilevel"/>
    <w:tmpl w:val="59209842"/>
    <w:lvl w:ilvl="0" w:tplc="EDDA5F3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F8E3DFD"/>
    <w:multiLevelType w:val="hybridMultilevel"/>
    <w:tmpl w:val="A93278B6"/>
    <w:lvl w:ilvl="0" w:tplc="42B0C4A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1FBB7C09"/>
    <w:multiLevelType w:val="hybridMultilevel"/>
    <w:tmpl w:val="12C0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B290E"/>
    <w:multiLevelType w:val="hybridMultilevel"/>
    <w:tmpl w:val="546AD104"/>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7" w15:restartNumberingAfterBreak="0">
    <w:nsid w:val="508E142C"/>
    <w:multiLevelType w:val="hybridMultilevel"/>
    <w:tmpl w:val="9F82ACB6"/>
    <w:lvl w:ilvl="0" w:tplc="B122D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D2383"/>
    <w:multiLevelType w:val="hybridMultilevel"/>
    <w:tmpl w:val="BA92E782"/>
    <w:lvl w:ilvl="0" w:tplc="525AD5C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0317374"/>
    <w:multiLevelType w:val="hybridMultilevel"/>
    <w:tmpl w:val="66400FB2"/>
    <w:lvl w:ilvl="0" w:tplc="E2987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EE4040"/>
    <w:multiLevelType w:val="hybridMultilevel"/>
    <w:tmpl w:val="32762ECE"/>
    <w:lvl w:ilvl="0" w:tplc="B1083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214EF0"/>
    <w:multiLevelType w:val="hybridMultilevel"/>
    <w:tmpl w:val="7F78C3AC"/>
    <w:lvl w:ilvl="0" w:tplc="EC24E4F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15397D"/>
    <w:multiLevelType w:val="hybridMultilevel"/>
    <w:tmpl w:val="3176F6A4"/>
    <w:lvl w:ilvl="0" w:tplc="A14A3FA0">
      <w:start w:val="3"/>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2"/>
  </w:num>
  <w:num w:numId="3">
    <w:abstractNumId w:val="8"/>
  </w:num>
  <w:num w:numId="4">
    <w:abstractNumId w:val="0"/>
  </w:num>
  <w:num w:numId="5">
    <w:abstractNumId w:val="5"/>
  </w:num>
  <w:num w:numId="6">
    <w:abstractNumId w:val="10"/>
  </w:num>
  <w:num w:numId="7">
    <w:abstractNumId w:val="11"/>
  </w:num>
  <w:num w:numId="8">
    <w:abstractNumId w:val="9"/>
  </w:num>
  <w:num w:numId="9">
    <w:abstractNumId w:val="7"/>
  </w:num>
  <w:num w:numId="10">
    <w:abstractNumId w:val="4"/>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36"/>
    <w:rsid w:val="00001A65"/>
    <w:rsid w:val="00014C91"/>
    <w:rsid w:val="0001654B"/>
    <w:rsid w:val="00021082"/>
    <w:rsid w:val="00023ED6"/>
    <w:rsid w:val="000243A2"/>
    <w:rsid w:val="0003540C"/>
    <w:rsid w:val="0004615B"/>
    <w:rsid w:val="00052B87"/>
    <w:rsid w:val="00057DB0"/>
    <w:rsid w:val="0006276E"/>
    <w:rsid w:val="000631FF"/>
    <w:rsid w:val="00064A31"/>
    <w:rsid w:val="00065234"/>
    <w:rsid w:val="00072870"/>
    <w:rsid w:val="00080668"/>
    <w:rsid w:val="000815AC"/>
    <w:rsid w:val="00084F94"/>
    <w:rsid w:val="000852C5"/>
    <w:rsid w:val="00085700"/>
    <w:rsid w:val="00085B15"/>
    <w:rsid w:val="000918FC"/>
    <w:rsid w:val="00093FAC"/>
    <w:rsid w:val="000A64C5"/>
    <w:rsid w:val="000B04D1"/>
    <w:rsid w:val="000B4D51"/>
    <w:rsid w:val="000B7B85"/>
    <w:rsid w:val="000C0366"/>
    <w:rsid w:val="000C3ED2"/>
    <w:rsid w:val="000C529A"/>
    <w:rsid w:val="000D385F"/>
    <w:rsid w:val="000D42A6"/>
    <w:rsid w:val="000D63DD"/>
    <w:rsid w:val="000E46F5"/>
    <w:rsid w:val="000E4E59"/>
    <w:rsid w:val="000E5201"/>
    <w:rsid w:val="000F0053"/>
    <w:rsid w:val="000F045B"/>
    <w:rsid w:val="000F4E31"/>
    <w:rsid w:val="000F5738"/>
    <w:rsid w:val="000F63F3"/>
    <w:rsid w:val="000F725C"/>
    <w:rsid w:val="001109CA"/>
    <w:rsid w:val="00113D8B"/>
    <w:rsid w:val="0011586E"/>
    <w:rsid w:val="00117B7B"/>
    <w:rsid w:val="001213CE"/>
    <w:rsid w:val="001247D1"/>
    <w:rsid w:val="00126B16"/>
    <w:rsid w:val="00127051"/>
    <w:rsid w:val="00133094"/>
    <w:rsid w:val="0013641B"/>
    <w:rsid w:val="001365AA"/>
    <w:rsid w:val="0014178F"/>
    <w:rsid w:val="00142725"/>
    <w:rsid w:val="00145A8C"/>
    <w:rsid w:val="00145E8A"/>
    <w:rsid w:val="00147141"/>
    <w:rsid w:val="00151699"/>
    <w:rsid w:val="0015196C"/>
    <w:rsid w:val="001544AE"/>
    <w:rsid w:val="0015709D"/>
    <w:rsid w:val="00164F6C"/>
    <w:rsid w:val="001768AD"/>
    <w:rsid w:val="001843D6"/>
    <w:rsid w:val="00185A66"/>
    <w:rsid w:val="001945F5"/>
    <w:rsid w:val="00194735"/>
    <w:rsid w:val="00196D15"/>
    <w:rsid w:val="00196EED"/>
    <w:rsid w:val="001A193D"/>
    <w:rsid w:val="001A5C30"/>
    <w:rsid w:val="001B014E"/>
    <w:rsid w:val="001B53A1"/>
    <w:rsid w:val="001C2579"/>
    <w:rsid w:val="001C5BA8"/>
    <w:rsid w:val="001C63FF"/>
    <w:rsid w:val="001D29AA"/>
    <w:rsid w:val="001D2F6E"/>
    <w:rsid w:val="001D36CB"/>
    <w:rsid w:val="001D5274"/>
    <w:rsid w:val="001D5C9D"/>
    <w:rsid w:val="001D6BDC"/>
    <w:rsid w:val="001D719E"/>
    <w:rsid w:val="001E022C"/>
    <w:rsid w:val="001E0BA6"/>
    <w:rsid w:val="001E4C69"/>
    <w:rsid w:val="001F214F"/>
    <w:rsid w:val="001F4573"/>
    <w:rsid w:val="001F501D"/>
    <w:rsid w:val="001F5FF3"/>
    <w:rsid w:val="001F654E"/>
    <w:rsid w:val="00202523"/>
    <w:rsid w:val="0020564A"/>
    <w:rsid w:val="0020783C"/>
    <w:rsid w:val="00210FEC"/>
    <w:rsid w:val="00216B1D"/>
    <w:rsid w:val="002219DB"/>
    <w:rsid w:val="00224AF3"/>
    <w:rsid w:val="002343CF"/>
    <w:rsid w:val="00235906"/>
    <w:rsid w:val="00237D55"/>
    <w:rsid w:val="00244AD5"/>
    <w:rsid w:val="00245642"/>
    <w:rsid w:val="00246AA1"/>
    <w:rsid w:val="00251229"/>
    <w:rsid w:val="0025216C"/>
    <w:rsid w:val="0026217B"/>
    <w:rsid w:val="00263C51"/>
    <w:rsid w:val="00264F38"/>
    <w:rsid w:val="00271E2C"/>
    <w:rsid w:val="002738EE"/>
    <w:rsid w:val="002777DB"/>
    <w:rsid w:val="00286C7B"/>
    <w:rsid w:val="00286F15"/>
    <w:rsid w:val="00291CB7"/>
    <w:rsid w:val="002960E3"/>
    <w:rsid w:val="002A3C39"/>
    <w:rsid w:val="002B33CD"/>
    <w:rsid w:val="002B425B"/>
    <w:rsid w:val="002B6893"/>
    <w:rsid w:val="002C3298"/>
    <w:rsid w:val="002C4D13"/>
    <w:rsid w:val="002C7D95"/>
    <w:rsid w:val="002D3869"/>
    <w:rsid w:val="002D4E70"/>
    <w:rsid w:val="002E2325"/>
    <w:rsid w:val="002E2D13"/>
    <w:rsid w:val="002E6111"/>
    <w:rsid w:val="002E6ECC"/>
    <w:rsid w:val="002F3804"/>
    <w:rsid w:val="002F3A35"/>
    <w:rsid w:val="002F4EC4"/>
    <w:rsid w:val="0030624A"/>
    <w:rsid w:val="00307F9F"/>
    <w:rsid w:val="00310AE6"/>
    <w:rsid w:val="00310CEA"/>
    <w:rsid w:val="00311669"/>
    <w:rsid w:val="00321D7C"/>
    <w:rsid w:val="00326766"/>
    <w:rsid w:val="003300EA"/>
    <w:rsid w:val="00331D98"/>
    <w:rsid w:val="00333203"/>
    <w:rsid w:val="0033330C"/>
    <w:rsid w:val="00334945"/>
    <w:rsid w:val="00340231"/>
    <w:rsid w:val="00341C56"/>
    <w:rsid w:val="00342CFF"/>
    <w:rsid w:val="0034463D"/>
    <w:rsid w:val="00345158"/>
    <w:rsid w:val="00345189"/>
    <w:rsid w:val="003524A7"/>
    <w:rsid w:val="0036003F"/>
    <w:rsid w:val="00360D29"/>
    <w:rsid w:val="00362870"/>
    <w:rsid w:val="00363E40"/>
    <w:rsid w:val="0036410D"/>
    <w:rsid w:val="00365D02"/>
    <w:rsid w:val="00371317"/>
    <w:rsid w:val="00376858"/>
    <w:rsid w:val="0038066A"/>
    <w:rsid w:val="0039130B"/>
    <w:rsid w:val="00391921"/>
    <w:rsid w:val="00393D55"/>
    <w:rsid w:val="003A3D96"/>
    <w:rsid w:val="003A43CE"/>
    <w:rsid w:val="003A701C"/>
    <w:rsid w:val="003B2366"/>
    <w:rsid w:val="003B64DE"/>
    <w:rsid w:val="003B6C74"/>
    <w:rsid w:val="003C3DD4"/>
    <w:rsid w:val="003D17AB"/>
    <w:rsid w:val="003D49E1"/>
    <w:rsid w:val="003D4A00"/>
    <w:rsid w:val="003D6F38"/>
    <w:rsid w:val="003E01B5"/>
    <w:rsid w:val="003E21E7"/>
    <w:rsid w:val="003E45BB"/>
    <w:rsid w:val="003E64F7"/>
    <w:rsid w:val="003E709F"/>
    <w:rsid w:val="003E74C3"/>
    <w:rsid w:val="003F24B9"/>
    <w:rsid w:val="003F3119"/>
    <w:rsid w:val="003F5B9B"/>
    <w:rsid w:val="003F7388"/>
    <w:rsid w:val="00401584"/>
    <w:rsid w:val="004026ED"/>
    <w:rsid w:val="00402EEC"/>
    <w:rsid w:val="0040301F"/>
    <w:rsid w:val="00410B9A"/>
    <w:rsid w:val="00414580"/>
    <w:rsid w:val="0041716A"/>
    <w:rsid w:val="00417C83"/>
    <w:rsid w:val="00420355"/>
    <w:rsid w:val="00425A09"/>
    <w:rsid w:val="00425A12"/>
    <w:rsid w:val="004343DF"/>
    <w:rsid w:val="00440844"/>
    <w:rsid w:val="00446A37"/>
    <w:rsid w:val="00452539"/>
    <w:rsid w:val="00452E3E"/>
    <w:rsid w:val="004555B6"/>
    <w:rsid w:val="00461E60"/>
    <w:rsid w:val="004625C5"/>
    <w:rsid w:val="00463138"/>
    <w:rsid w:val="0046681C"/>
    <w:rsid w:val="00470BAD"/>
    <w:rsid w:val="004739AF"/>
    <w:rsid w:val="00474DF0"/>
    <w:rsid w:val="0048563E"/>
    <w:rsid w:val="00485DE0"/>
    <w:rsid w:val="00490106"/>
    <w:rsid w:val="00491F4F"/>
    <w:rsid w:val="00496E51"/>
    <w:rsid w:val="00496F57"/>
    <w:rsid w:val="00497C34"/>
    <w:rsid w:val="004A525D"/>
    <w:rsid w:val="004A61DC"/>
    <w:rsid w:val="004A7240"/>
    <w:rsid w:val="004B1ACE"/>
    <w:rsid w:val="004B2D69"/>
    <w:rsid w:val="004C7D70"/>
    <w:rsid w:val="004D2B6B"/>
    <w:rsid w:val="004D6230"/>
    <w:rsid w:val="004D77CB"/>
    <w:rsid w:val="004E5E54"/>
    <w:rsid w:val="004F358C"/>
    <w:rsid w:val="004F4920"/>
    <w:rsid w:val="004F5A70"/>
    <w:rsid w:val="004F5AF5"/>
    <w:rsid w:val="005009FB"/>
    <w:rsid w:val="00510D91"/>
    <w:rsid w:val="00522097"/>
    <w:rsid w:val="00522A74"/>
    <w:rsid w:val="00523F1D"/>
    <w:rsid w:val="00535405"/>
    <w:rsid w:val="0054184C"/>
    <w:rsid w:val="0054411E"/>
    <w:rsid w:val="005466A1"/>
    <w:rsid w:val="00546927"/>
    <w:rsid w:val="00547964"/>
    <w:rsid w:val="0055327D"/>
    <w:rsid w:val="00563184"/>
    <w:rsid w:val="005674AA"/>
    <w:rsid w:val="0057098E"/>
    <w:rsid w:val="005710AA"/>
    <w:rsid w:val="005821C7"/>
    <w:rsid w:val="00583D35"/>
    <w:rsid w:val="00584561"/>
    <w:rsid w:val="005847EA"/>
    <w:rsid w:val="005956D9"/>
    <w:rsid w:val="00596DCA"/>
    <w:rsid w:val="005A225C"/>
    <w:rsid w:val="005A608F"/>
    <w:rsid w:val="005B079A"/>
    <w:rsid w:val="005B1E39"/>
    <w:rsid w:val="005D7312"/>
    <w:rsid w:val="005E405A"/>
    <w:rsid w:val="005E5806"/>
    <w:rsid w:val="005F2E74"/>
    <w:rsid w:val="006014D7"/>
    <w:rsid w:val="00607240"/>
    <w:rsid w:val="00611B3F"/>
    <w:rsid w:val="00611B69"/>
    <w:rsid w:val="006120E6"/>
    <w:rsid w:val="006127DC"/>
    <w:rsid w:val="0061375C"/>
    <w:rsid w:val="00616291"/>
    <w:rsid w:val="00620312"/>
    <w:rsid w:val="006229FA"/>
    <w:rsid w:val="006245DF"/>
    <w:rsid w:val="00630A74"/>
    <w:rsid w:val="0063192E"/>
    <w:rsid w:val="00632BB0"/>
    <w:rsid w:val="00634FBF"/>
    <w:rsid w:val="006359C0"/>
    <w:rsid w:val="00636840"/>
    <w:rsid w:val="00636A84"/>
    <w:rsid w:val="006403F7"/>
    <w:rsid w:val="00641EFE"/>
    <w:rsid w:val="00641F3C"/>
    <w:rsid w:val="00647627"/>
    <w:rsid w:val="00650C3A"/>
    <w:rsid w:val="00652DD5"/>
    <w:rsid w:val="00657965"/>
    <w:rsid w:val="0066464B"/>
    <w:rsid w:val="006654F6"/>
    <w:rsid w:val="00665AB3"/>
    <w:rsid w:val="0067129F"/>
    <w:rsid w:val="006762D6"/>
    <w:rsid w:val="006801AA"/>
    <w:rsid w:val="00680C87"/>
    <w:rsid w:val="00681448"/>
    <w:rsid w:val="00682AB3"/>
    <w:rsid w:val="006862F1"/>
    <w:rsid w:val="0069164C"/>
    <w:rsid w:val="00691D43"/>
    <w:rsid w:val="006952B7"/>
    <w:rsid w:val="00695A71"/>
    <w:rsid w:val="00697053"/>
    <w:rsid w:val="006974DD"/>
    <w:rsid w:val="006B1EAE"/>
    <w:rsid w:val="006B2B06"/>
    <w:rsid w:val="006B35F0"/>
    <w:rsid w:val="006B4B72"/>
    <w:rsid w:val="006B68A1"/>
    <w:rsid w:val="006C02EA"/>
    <w:rsid w:val="006C167D"/>
    <w:rsid w:val="006C43F9"/>
    <w:rsid w:val="006C5FCC"/>
    <w:rsid w:val="006D105C"/>
    <w:rsid w:val="006D7889"/>
    <w:rsid w:val="006E01F8"/>
    <w:rsid w:val="006E2841"/>
    <w:rsid w:val="006E738F"/>
    <w:rsid w:val="006E76B8"/>
    <w:rsid w:val="006F2975"/>
    <w:rsid w:val="006F48D0"/>
    <w:rsid w:val="006F61F5"/>
    <w:rsid w:val="0070045A"/>
    <w:rsid w:val="00707D55"/>
    <w:rsid w:val="007102CE"/>
    <w:rsid w:val="0071107B"/>
    <w:rsid w:val="007152AC"/>
    <w:rsid w:val="00716B10"/>
    <w:rsid w:val="00732AA1"/>
    <w:rsid w:val="00735D05"/>
    <w:rsid w:val="00742B8F"/>
    <w:rsid w:val="00743F68"/>
    <w:rsid w:val="00753AC0"/>
    <w:rsid w:val="00755582"/>
    <w:rsid w:val="00763197"/>
    <w:rsid w:val="00773D82"/>
    <w:rsid w:val="00783D15"/>
    <w:rsid w:val="00792158"/>
    <w:rsid w:val="00792D30"/>
    <w:rsid w:val="0079380B"/>
    <w:rsid w:val="00794986"/>
    <w:rsid w:val="00797CF0"/>
    <w:rsid w:val="00797E31"/>
    <w:rsid w:val="007A4AC3"/>
    <w:rsid w:val="007A6BC9"/>
    <w:rsid w:val="007B2594"/>
    <w:rsid w:val="007B679C"/>
    <w:rsid w:val="007C425C"/>
    <w:rsid w:val="007E0099"/>
    <w:rsid w:val="007E1231"/>
    <w:rsid w:val="007E7DE9"/>
    <w:rsid w:val="007F035F"/>
    <w:rsid w:val="007F5465"/>
    <w:rsid w:val="007F7228"/>
    <w:rsid w:val="00803BDD"/>
    <w:rsid w:val="00806450"/>
    <w:rsid w:val="008108CA"/>
    <w:rsid w:val="00815667"/>
    <w:rsid w:val="00820F2B"/>
    <w:rsid w:val="00822297"/>
    <w:rsid w:val="0082319E"/>
    <w:rsid w:val="0082490D"/>
    <w:rsid w:val="00824B12"/>
    <w:rsid w:val="00827CEA"/>
    <w:rsid w:val="0083463B"/>
    <w:rsid w:val="00840892"/>
    <w:rsid w:val="00843466"/>
    <w:rsid w:val="00843B5D"/>
    <w:rsid w:val="00852CEF"/>
    <w:rsid w:val="00852D30"/>
    <w:rsid w:val="0085358B"/>
    <w:rsid w:val="00864D81"/>
    <w:rsid w:val="00871CAB"/>
    <w:rsid w:val="00875506"/>
    <w:rsid w:val="00875846"/>
    <w:rsid w:val="00876CD4"/>
    <w:rsid w:val="00896752"/>
    <w:rsid w:val="008A3A15"/>
    <w:rsid w:val="008A4EFC"/>
    <w:rsid w:val="008B0388"/>
    <w:rsid w:val="008B3211"/>
    <w:rsid w:val="008B414E"/>
    <w:rsid w:val="008C2A31"/>
    <w:rsid w:val="008C636A"/>
    <w:rsid w:val="008C6F49"/>
    <w:rsid w:val="008D0FDD"/>
    <w:rsid w:val="008D210F"/>
    <w:rsid w:val="008D47AD"/>
    <w:rsid w:val="008D538D"/>
    <w:rsid w:val="008D5F19"/>
    <w:rsid w:val="008E70E8"/>
    <w:rsid w:val="008E7146"/>
    <w:rsid w:val="008F0B69"/>
    <w:rsid w:val="008F58A2"/>
    <w:rsid w:val="00903A56"/>
    <w:rsid w:val="009046BA"/>
    <w:rsid w:val="009051E1"/>
    <w:rsid w:val="00913060"/>
    <w:rsid w:val="009140D3"/>
    <w:rsid w:val="00915414"/>
    <w:rsid w:val="00915E86"/>
    <w:rsid w:val="009164D6"/>
    <w:rsid w:val="00921326"/>
    <w:rsid w:val="00931A04"/>
    <w:rsid w:val="0093642D"/>
    <w:rsid w:val="0093770E"/>
    <w:rsid w:val="00940E48"/>
    <w:rsid w:val="00942424"/>
    <w:rsid w:val="00951F91"/>
    <w:rsid w:val="00954185"/>
    <w:rsid w:val="00957120"/>
    <w:rsid w:val="00967893"/>
    <w:rsid w:val="00974F43"/>
    <w:rsid w:val="009755C7"/>
    <w:rsid w:val="0097567A"/>
    <w:rsid w:val="0098029E"/>
    <w:rsid w:val="00980FDC"/>
    <w:rsid w:val="00981BF0"/>
    <w:rsid w:val="0098211D"/>
    <w:rsid w:val="00983423"/>
    <w:rsid w:val="00994381"/>
    <w:rsid w:val="009B2008"/>
    <w:rsid w:val="009B329B"/>
    <w:rsid w:val="009C66AE"/>
    <w:rsid w:val="009E25A0"/>
    <w:rsid w:val="009F02AE"/>
    <w:rsid w:val="009F0DCA"/>
    <w:rsid w:val="009F213D"/>
    <w:rsid w:val="00A03ABC"/>
    <w:rsid w:val="00A06BFD"/>
    <w:rsid w:val="00A07B91"/>
    <w:rsid w:val="00A131C5"/>
    <w:rsid w:val="00A30572"/>
    <w:rsid w:val="00A31D83"/>
    <w:rsid w:val="00A3342D"/>
    <w:rsid w:val="00A34502"/>
    <w:rsid w:val="00A454A1"/>
    <w:rsid w:val="00A51D02"/>
    <w:rsid w:val="00A53ACC"/>
    <w:rsid w:val="00A55628"/>
    <w:rsid w:val="00A65AAD"/>
    <w:rsid w:val="00A660C8"/>
    <w:rsid w:val="00A72331"/>
    <w:rsid w:val="00A72474"/>
    <w:rsid w:val="00A74302"/>
    <w:rsid w:val="00A80E41"/>
    <w:rsid w:val="00A86DB2"/>
    <w:rsid w:val="00A912F6"/>
    <w:rsid w:val="00A91CC7"/>
    <w:rsid w:val="00A93AAF"/>
    <w:rsid w:val="00A95F9B"/>
    <w:rsid w:val="00AA0DB3"/>
    <w:rsid w:val="00AA1909"/>
    <w:rsid w:val="00AA28D4"/>
    <w:rsid w:val="00AA369B"/>
    <w:rsid w:val="00AA53BD"/>
    <w:rsid w:val="00AA7597"/>
    <w:rsid w:val="00AB1785"/>
    <w:rsid w:val="00AB6BAA"/>
    <w:rsid w:val="00AD0B00"/>
    <w:rsid w:val="00AD708E"/>
    <w:rsid w:val="00AE0772"/>
    <w:rsid w:val="00AE289B"/>
    <w:rsid w:val="00AF1E2F"/>
    <w:rsid w:val="00AF2387"/>
    <w:rsid w:val="00AF57E7"/>
    <w:rsid w:val="00B01C93"/>
    <w:rsid w:val="00B07E15"/>
    <w:rsid w:val="00B14822"/>
    <w:rsid w:val="00B22479"/>
    <w:rsid w:val="00B25186"/>
    <w:rsid w:val="00B261B7"/>
    <w:rsid w:val="00B30971"/>
    <w:rsid w:val="00B32524"/>
    <w:rsid w:val="00B32607"/>
    <w:rsid w:val="00B426C4"/>
    <w:rsid w:val="00B44426"/>
    <w:rsid w:val="00B44E56"/>
    <w:rsid w:val="00B4530A"/>
    <w:rsid w:val="00B5525D"/>
    <w:rsid w:val="00B5715E"/>
    <w:rsid w:val="00B65058"/>
    <w:rsid w:val="00B65C76"/>
    <w:rsid w:val="00B67A62"/>
    <w:rsid w:val="00B70CC6"/>
    <w:rsid w:val="00B72328"/>
    <w:rsid w:val="00B72AEB"/>
    <w:rsid w:val="00B83595"/>
    <w:rsid w:val="00B8404D"/>
    <w:rsid w:val="00B86685"/>
    <w:rsid w:val="00B913EB"/>
    <w:rsid w:val="00B93BB7"/>
    <w:rsid w:val="00B94EB2"/>
    <w:rsid w:val="00BA32D1"/>
    <w:rsid w:val="00BA6F5C"/>
    <w:rsid w:val="00BB0639"/>
    <w:rsid w:val="00BB3010"/>
    <w:rsid w:val="00BC01F8"/>
    <w:rsid w:val="00BC04FD"/>
    <w:rsid w:val="00BC3235"/>
    <w:rsid w:val="00BC55D1"/>
    <w:rsid w:val="00BC60D0"/>
    <w:rsid w:val="00BD4420"/>
    <w:rsid w:val="00BD4731"/>
    <w:rsid w:val="00BD5CDC"/>
    <w:rsid w:val="00BD75C0"/>
    <w:rsid w:val="00BE35B9"/>
    <w:rsid w:val="00BE41E0"/>
    <w:rsid w:val="00BE7ECF"/>
    <w:rsid w:val="00BF4312"/>
    <w:rsid w:val="00C056D8"/>
    <w:rsid w:val="00C20364"/>
    <w:rsid w:val="00C20E01"/>
    <w:rsid w:val="00C22551"/>
    <w:rsid w:val="00C227BF"/>
    <w:rsid w:val="00C23E8B"/>
    <w:rsid w:val="00C30EB0"/>
    <w:rsid w:val="00C31522"/>
    <w:rsid w:val="00C315B4"/>
    <w:rsid w:val="00C3340C"/>
    <w:rsid w:val="00C41022"/>
    <w:rsid w:val="00C45DA0"/>
    <w:rsid w:val="00C46E70"/>
    <w:rsid w:val="00C5083C"/>
    <w:rsid w:val="00C54D52"/>
    <w:rsid w:val="00C57F79"/>
    <w:rsid w:val="00C607BE"/>
    <w:rsid w:val="00C65549"/>
    <w:rsid w:val="00C67C57"/>
    <w:rsid w:val="00C712C2"/>
    <w:rsid w:val="00C72F89"/>
    <w:rsid w:val="00C762E3"/>
    <w:rsid w:val="00C76CC1"/>
    <w:rsid w:val="00C776DE"/>
    <w:rsid w:val="00C7777F"/>
    <w:rsid w:val="00C81AC6"/>
    <w:rsid w:val="00C82BE4"/>
    <w:rsid w:val="00C84EBB"/>
    <w:rsid w:val="00C85645"/>
    <w:rsid w:val="00C85A93"/>
    <w:rsid w:val="00C85E9A"/>
    <w:rsid w:val="00C91189"/>
    <w:rsid w:val="00C931C7"/>
    <w:rsid w:val="00C95E62"/>
    <w:rsid w:val="00C9615D"/>
    <w:rsid w:val="00C96E04"/>
    <w:rsid w:val="00C9726C"/>
    <w:rsid w:val="00CA1968"/>
    <w:rsid w:val="00CA494D"/>
    <w:rsid w:val="00CC2DD7"/>
    <w:rsid w:val="00CC6759"/>
    <w:rsid w:val="00CD0050"/>
    <w:rsid w:val="00CD35FF"/>
    <w:rsid w:val="00CD4B36"/>
    <w:rsid w:val="00CE507E"/>
    <w:rsid w:val="00CE65E9"/>
    <w:rsid w:val="00CF282B"/>
    <w:rsid w:val="00CF291D"/>
    <w:rsid w:val="00CF779D"/>
    <w:rsid w:val="00D0027F"/>
    <w:rsid w:val="00D00E14"/>
    <w:rsid w:val="00D02A82"/>
    <w:rsid w:val="00D10FB6"/>
    <w:rsid w:val="00D13457"/>
    <w:rsid w:val="00D14CC6"/>
    <w:rsid w:val="00D2032B"/>
    <w:rsid w:val="00D21D49"/>
    <w:rsid w:val="00D244A0"/>
    <w:rsid w:val="00D2474A"/>
    <w:rsid w:val="00D3037D"/>
    <w:rsid w:val="00D31762"/>
    <w:rsid w:val="00D326D6"/>
    <w:rsid w:val="00D33461"/>
    <w:rsid w:val="00D33EC0"/>
    <w:rsid w:val="00D36143"/>
    <w:rsid w:val="00D36E23"/>
    <w:rsid w:val="00D37066"/>
    <w:rsid w:val="00D37724"/>
    <w:rsid w:val="00D4418F"/>
    <w:rsid w:val="00D45CB0"/>
    <w:rsid w:val="00D67236"/>
    <w:rsid w:val="00D67E5C"/>
    <w:rsid w:val="00D72957"/>
    <w:rsid w:val="00D76501"/>
    <w:rsid w:val="00D856CD"/>
    <w:rsid w:val="00D979E5"/>
    <w:rsid w:val="00DA001F"/>
    <w:rsid w:val="00DA3C3D"/>
    <w:rsid w:val="00DA522D"/>
    <w:rsid w:val="00DA6814"/>
    <w:rsid w:val="00DA75F0"/>
    <w:rsid w:val="00DB070F"/>
    <w:rsid w:val="00DB2B95"/>
    <w:rsid w:val="00DB4D8E"/>
    <w:rsid w:val="00DC2408"/>
    <w:rsid w:val="00DC3050"/>
    <w:rsid w:val="00DC3D9A"/>
    <w:rsid w:val="00DC54C4"/>
    <w:rsid w:val="00DC5639"/>
    <w:rsid w:val="00DC7D58"/>
    <w:rsid w:val="00DD79C3"/>
    <w:rsid w:val="00DD7EB1"/>
    <w:rsid w:val="00DE7581"/>
    <w:rsid w:val="00DF42EF"/>
    <w:rsid w:val="00E00264"/>
    <w:rsid w:val="00E03988"/>
    <w:rsid w:val="00E0707B"/>
    <w:rsid w:val="00E123AB"/>
    <w:rsid w:val="00E14E7F"/>
    <w:rsid w:val="00E15D88"/>
    <w:rsid w:val="00E1686D"/>
    <w:rsid w:val="00E17E6F"/>
    <w:rsid w:val="00E34065"/>
    <w:rsid w:val="00E34183"/>
    <w:rsid w:val="00E35E66"/>
    <w:rsid w:val="00E36C6B"/>
    <w:rsid w:val="00E40EC3"/>
    <w:rsid w:val="00E41373"/>
    <w:rsid w:val="00E42875"/>
    <w:rsid w:val="00E516D0"/>
    <w:rsid w:val="00E52898"/>
    <w:rsid w:val="00E57033"/>
    <w:rsid w:val="00E573F1"/>
    <w:rsid w:val="00E6182A"/>
    <w:rsid w:val="00E62832"/>
    <w:rsid w:val="00E65B1B"/>
    <w:rsid w:val="00E6634F"/>
    <w:rsid w:val="00E71B5A"/>
    <w:rsid w:val="00E770E9"/>
    <w:rsid w:val="00E776FC"/>
    <w:rsid w:val="00E807C5"/>
    <w:rsid w:val="00E81C8D"/>
    <w:rsid w:val="00E9231E"/>
    <w:rsid w:val="00E93209"/>
    <w:rsid w:val="00E94381"/>
    <w:rsid w:val="00EA3102"/>
    <w:rsid w:val="00EB1F07"/>
    <w:rsid w:val="00EC066F"/>
    <w:rsid w:val="00EC385A"/>
    <w:rsid w:val="00EC6AB2"/>
    <w:rsid w:val="00ED7588"/>
    <w:rsid w:val="00ED79BC"/>
    <w:rsid w:val="00EF34B6"/>
    <w:rsid w:val="00EF4213"/>
    <w:rsid w:val="00EF4B13"/>
    <w:rsid w:val="00EF4E27"/>
    <w:rsid w:val="00EF7D59"/>
    <w:rsid w:val="00F0001B"/>
    <w:rsid w:val="00F05C05"/>
    <w:rsid w:val="00F07B7C"/>
    <w:rsid w:val="00F11918"/>
    <w:rsid w:val="00F155E5"/>
    <w:rsid w:val="00F20AC9"/>
    <w:rsid w:val="00F21328"/>
    <w:rsid w:val="00F21CD9"/>
    <w:rsid w:val="00F34340"/>
    <w:rsid w:val="00F36050"/>
    <w:rsid w:val="00F364ED"/>
    <w:rsid w:val="00F3777C"/>
    <w:rsid w:val="00F377B0"/>
    <w:rsid w:val="00F402F1"/>
    <w:rsid w:val="00F40964"/>
    <w:rsid w:val="00F47416"/>
    <w:rsid w:val="00F54AF2"/>
    <w:rsid w:val="00F56006"/>
    <w:rsid w:val="00F57409"/>
    <w:rsid w:val="00F607C1"/>
    <w:rsid w:val="00F673B3"/>
    <w:rsid w:val="00F67B85"/>
    <w:rsid w:val="00F70A86"/>
    <w:rsid w:val="00F724EB"/>
    <w:rsid w:val="00F759D7"/>
    <w:rsid w:val="00F80033"/>
    <w:rsid w:val="00F8012C"/>
    <w:rsid w:val="00F84D13"/>
    <w:rsid w:val="00F90546"/>
    <w:rsid w:val="00FA12D4"/>
    <w:rsid w:val="00FA1E74"/>
    <w:rsid w:val="00FA69DB"/>
    <w:rsid w:val="00FA6F2F"/>
    <w:rsid w:val="00FA72BD"/>
    <w:rsid w:val="00FB353B"/>
    <w:rsid w:val="00FC2693"/>
    <w:rsid w:val="00FE0253"/>
    <w:rsid w:val="00FE2548"/>
    <w:rsid w:val="00FE262E"/>
    <w:rsid w:val="00FF1E26"/>
    <w:rsid w:val="00FF1E65"/>
    <w:rsid w:val="00FF5C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895578"/>
  <w15:chartTrackingRefBased/>
  <w15:docId w15:val="{9F3E381A-705F-4E23-B35B-E4EA53EE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B36"/>
    <w:pPr>
      <w:spacing w:after="0" w:line="240" w:lineRule="auto"/>
    </w:pPr>
  </w:style>
  <w:style w:type="paragraph" w:styleId="ListParagraph">
    <w:name w:val="List Paragraph"/>
    <w:basedOn w:val="Normal"/>
    <w:uiPriority w:val="34"/>
    <w:qFormat/>
    <w:rsid w:val="00F80033"/>
    <w:pPr>
      <w:ind w:left="720"/>
      <w:contextualSpacing/>
    </w:pPr>
  </w:style>
  <w:style w:type="paragraph" w:styleId="Header">
    <w:name w:val="header"/>
    <w:basedOn w:val="Normal"/>
    <w:link w:val="HeaderChar"/>
    <w:uiPriority w:val="99"/>
    <w:unhideWhenUsed/>
    <w:rsid w:val="00612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0E6"/>
  </w:style>
  <w:style w:type="paragraph" w:styleId="Footer">
    <w:name w:val="footer"/>
    <w:basedOn w:val="Normal"/>
    <w:link w:val="FooterChar"/>
    <w:uiPriority w:val="99"/>
    <w:unhideWhenUsed/>
    <w:rsid w:val="00612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0E6"/>
  </w:style>
  <w:style w:type="paragraph" w:styleId="BalloonText">
    <w:name w:val="Balloon Text"/>
    <w:basedOn w:val="Normal"/>
    <w:link w:val="BalloonTextChar"/>
    <w:uiPriority w:val="99"/>
    <w:semiHidden/>
    <w:unhideWhenUsed/>
    <w:rsid w:val="00A91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2F6"/>
    <w:rPr>
      <w:rFonts w:ascii="Segoe UI" w:hAnsi="Segoe UI" w:cs="Segoe UI"/>
      <w:sz w:val="18"/>
      <w:szCs w:val="18"/>
    </w:rPr>
  </w:style>
  <w:style w:type="paragraph" w:styleId="FootnoteText">
    <w:name w:val="footnote text"/>
    <w:basedOn w:val="Normal"/>
    <w:link w:val="FootnoteTextChar"/>
    <w:uiPriority w:val="99"/>
    <w:semiHidden/>
    <w:unhideWhenUsed/>
    <w:rsid w:val="00B07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E15"/>
    <w:rPr>
      <w:sz w:val="20"/>
      <w:szCs w:val="20"/>
    </w:rPr>
  </w:style>
  <w:style w:type="character" w:styleId="FootnoteReference">
    <w:name w:val="footnote reference"/>
    <w:basedOn w:val="DefaultParagraphFont"/>
    <w:uiPriority w:val="99"/>
    <w:semiHidden/>
    <w:unhideWhenUsed/>
    <w:rsid w:val="00B07E15"/>
    <w:rPr>
      <w:vertAlign w:val="superscript"/>
    </w:rPr>
  </w:style>
  <w:style w:type="character" w:styleId="Emphasis">
    <w:name w:val="Emphasis"/>
    <w:basedOn w:val="DefaultParagraphFont"/>
    <w:uiPriority w:val="20"/>
    <w:qFormat/>
    <w:rsid w:val="008E70E8"/>
    <w:rPr>
      <w:i/>
      <w:iCs/>
    </w:rPr>
  </w:style>
  <w:style w:type="character" w:styleId="Hyperlink">
    <w:name w:val="Hyperlink"/>
    <w:basedOn w:val="DefaultParagraphFont"/>
    <w:uiPriority w:val="99"/>
    <w:unhideWhenUsed/>
    <w:rsid w:val="008E7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8.png@01D15507.FF25BB90"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ontario.ca/laws/statute/s15023" TargetMode="External"/><Relationship Id="rId2" Type="http://schemas.openxmlformats.org/officeDocument/2006/relationships/hyperlink" Target="https://www.ontario.ca/laws/statute/90c43" TargetMode="External"/><Relationship Id="rId1" Type="http://schemas.openxmlformats.org/officeDocument/2006/relationships/hyperlink" Target="https://decisions.scc-csc.ca/scc-csc/scc-csc/en/18459/1/docume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D2B2F932E77742A5D70B9786BC680D" ma:contentTypeVersion="12" ma:contentTypeDescription="Create a new document." ma:contentTypeScope="" ma:versionID="4bb14bfca2dee229bc91abed05e737e6">
  <xsd:schema xmlns:xsd="http://www.w3.org/2001/XMLSchema" xmlns:xs="http://www.w3.org/2001/XMLSchema" xmlns:p="http://schemas.microsoft.com/office/2006/metadata/properties" xmlns:ns2="e4bd0ea6-2704-45ed-92b4-c0c1baf91ce8" xmlns:ns3="a7f957bb-fdaa-467a-9e19-c3cffc5c660e" targetNamespace="http://schemas.microsoft.com/office/2006/metadata/properties" ma:root="true" ma:fieldsID="5a0e1d330524f14fac94abafe2f09d83" ns2:_="" ns3:_="">
    <xsd:import namespace="e4bd0ea6-2704-45ed-92b4-c0c1baf91ce8"/>
    <xsd:import namespace="a7f957bb-fdaa-467a-9e19-c3cffc5c66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d0ea6-2704-45ed-92b4-c0c1baf91c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957bb-fdaa-467a-9e19-c3cffc5c66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62478-E132-4193-8DA2-E098FA90C58C}">
  <ds:schemaRefs>
    <ds:schemaRef ds:uri="http://schemas.openxmlformats.org/officeDocument/2006/bibliography"/>
  </ds:schemaRefs>
</ds:datastoreItem>
</file>

<file path=customXml/itemProps2.xml><?xml version="1.0" encoding="utf-8"?>
<ds:datastoreItem xmlns:ds="http://schemas.openxmlformats.org/officeDocument/2006/customXml" ds:itemID="{4C29A34D-A68E-4A05-87FD-C53EB2022505}"/>
</file>

<file path=customXml/itemProps3.xml><?xml version="1.0" encoding="utf-8"?>
<ds:datastoreItem xmlns:ds="http://schemas.openxmlformats.org/officeDocument/2006/customXml" ds:itemID="{4E3A8E82-C9A6-44C7-8A8D-41866668D36B}"/>
</file>

<file path=customXml/itemProps4.xml><?xml version="1.0" encoding="utf-8"?>
<ds:datastoreItem xmlns:ds="http://schemas.openxmlformats.org/officeDocument/2006/customXml" ds:itemID="{F3A09910-10E0-46ED-BA96-007F30C0F7F6}"/>
</file>

<file path=docProps/app.xml><?xml version="1.0" encoding="utf-8"?>
<Properties xmlns="http://schemas.openxmlformats.org/officeDocument/2006/extended-properties" xmlns:vt="http://schemas.openxmlformats.org/officeDocument/2006/docPropsVTypes">
  <Template>Normal</Template>
  <TotalTime>1</TotalTime>
  <Pages>35</Pages>
  <Words>7910</Words>
  <Characters>45089</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Rural Development and Agrarian Reform</Company>
  <LinksUpToDate>false</LinksUpToDate>
  <CharactersWithSpaces>52894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Irwin</dc:creator>
  <cp:keywords/>
  <dc:description/>
  <cp:lastModifiedBy>Greer Blizzard</cp:lastModifiedBy>
  <cp:revision>2</cp:revision>
  <cp:lastPrinted>2021-02-09T13:07:00Z</cp:lastPrinted>
  <dcterms:created xsi:type="dcterms:W3CDTF">2021-02-10T12:37:00Z</dcterms:created>
  <dcterms:modified xsi:type="dcterms:W3CDTF">2021-02-10T12:37:00Z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0x0101003ED2B2F932E77742A5D70B9786BC680D</vt:lpwstr>
  </property>
</Properties>
</file>